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numPr>
          <w:ilvl w:val="0"/>
          <w:numId w:val="0"/>
        </w:numPr>
        <w:tabs>
          <w:tab w:val="left" w:pos="420"/>
        </w:tabs>
        <w:kinsoku/>
        <w:wordWrap/>
        <w:overflowPunct/>
        <w:topLinePunct w:val="0"/>
        <w:autoSpaceDE/>
        <w:autoSpaceDN/>
        <w:bidi w:val="0"/>
        <w:adjustRightInd w:val="0"/>
        <w:snapToGrid w:val="0"/>
        <w:spacing w:after="0" w:afterLines="0" w:line="500" w:lineRule="exact"/>
        <w:ind w:leftChars="0"/>
        <w:jc w:val="center"/>
        <w:textAlignment w:val="auto"/>
        <w:outlineLvl w:val="1"/>
        <w:rPr>
          <w:rFonts w:hint="eastAsia" w:ascii="宋体" w:hAnsi="宋体" w:eastAsia="宋体" w:cs="宋体"/>
          <w:b/>
          <w:bCs/>
          <w:kern w:val="0"/>
          <w:sz w:val="44"/>
          <w:szCs w:val="44"/>
          <w:highlight w:val="none"/>
        </w:rPr>
      </w:pPr>
      <w:bookmarkStart w:id="0" w:name="_Toc25619"/>
      <w:bookmarkStart w:id="1" w:name="_Toc19814"/>
      <w:bookmarkStart w:id="11" w:name="_GoBack"/>
      <w:bookmarkEnd w:id="11"/>
      <w:r>
        <w:rPr>
          <w:rFonts w:hint="eastAsia" w:ascii="宋体" w:hAnsi="宋体" w:eastAsia="宋体" w:cs="宋体"/>
          <w:b/>
          <w:bCs/>
          <w:kern w:val="0"/>
          <w:sz w:val="44"/>
          <w:szCs w:val="44"/>
          <w:highlight w:val="none"/>
        </w:rPr>
        <w:t>珠海市第三人民医院污水处理站运营管理</w:t>
      </w:r>
    </w:p>
    <w:p>
      <w:pPr>
        <w:pStyle w:val="3"/>
        <w:keepNext/>
        <w:keepLines/>
        <w:pageBreakBefore w:val="0"/>
        <w:widowControl w:val="0"/>
        <w:numPr>
          <w:ilvl w:val="0"/>
          <w:numId w:val="0"/>
        </w:numPr>
        <w:tabs>
          <w:tab w:val="left" w:pos="420"/>
        </w:tabs>
        <w:kinsoku/>
        <w:wordWrap/>
        <w:overflowPunct/>
        <w:topLinePunct w:val="0"/>
        <w:autoSpaceDE/>
        <w:autoSpaceDN/>
        <w:bidi w:val="0"/>
        <w:adjustRightInd w:val="0"/>
        <w:snapToGrid w:val="0"/>
        <w:spacing w:after="0" w:afterLines="0" w:line="500" w:lineRule="exact"/>
        <w:ind w:leftChars="0"/>
        <w:jc w:val="center"/>
        <w:textAlignment w:val="auto"/>
        <w:outlineLvl w:val="1"/>
        <w:rPr>
          <w:rFonts w:hint="eastAsia" w:ascii="仿宋" w:hAnsi="仿宋" w:eastAsia="仿宋" w:cs="仿宋"/>
          <w:sz w:val="24"/>
          <w:szCs w:val="24"/>
          <w:highlight w:val="none"/>
          <w:lang w:val="en-US" w:eastAsia="zh-CN"/>
        </w:rPr>
      </w:pPr>
      <w:r>
        <w:rPr>
          <w:rFonts w:hint="eastAsia" w:ascii="宋体" w:hAnsi="宋体" w:eastAsia="宋体" w:cs="宋体"/>
          <w:b/>
          <w:bCs/>
          <w:kern w:val="0"/>
          <w:sz w:val="44"/>
          <w:szCs w:val="44"/>
          <w:highlight w:val="none"/>
          <w:lang w:val="en-US" w:eastAsia="zh-CN"/>
        </w:rPr>
        <w:t>项目</w:t>
      </w:r>
      <w:r>
        <w:rPr>
          <w:rFonts w:hint="eastAsia" w:ascii="宋体" w:hAnsi="宋体" w:eastAsia="宋体" w:cs="宋体"/>
          <w:b/>
          <w:bCs/>
          <w:kern w:val="0"/>
          <w:sz w:val="44"/>
          <w:szCs w:val="44"/>
          <w:highlight w:val="none"/>
          <w:lang w:val="en-US" w:eastAsia="zh-CN"/>
        </w:rPr>
        <w:t>需求书</w:t>
      </w:r>
      <w:bookmarkEnd w:id="0"/>
      <w:bookmarkEnd w:id="1"/>
    </w:p>
    <w:p>
      <w:pPr>
        <w:pageBreakBefore w:val="0"/>
        <w:kinsoku/>
        <w:wordWrap/>
        <w:overflowPunct/>
        <w:topLinePunct w:val="0"/>
        <w:autoSpaceDE/>
        <w:autoSpaceDN/>
        <w:bidi w:val="0"/>
        <w:adjustRightInd w:val="0"/>
        <w:snapToGrid w:val="0"/>
        <w:spacing w:line="500" w:lineRule="exact"/>
        <w:textAlignment w:val="auto"/>
        <w:rPr>
          <w:rFonts w:hint="eastAsia" w:ascii="宋体" w:hAnsi="宋体" w:eastAsia="宋体" w:cs="宋体"/>
          <w:b/>
          <w:bCs/>
          <w:sz w:val="32"/>
          <w:szCs w:val="32"/>
          <w:highlight w:val="none"/>
          <w:lang w:val="en-US" w:eastAsia="zh-CN"/>
        </w:rPr>
      </w:pPr>
      <w:bookmarkStart w:id="2" w:name="_Toc20234"/>
      <w:bookmarkStart w:id="3" w:name="_Toc17268"/>
    </w:p>
    <w:p>
      <w:pPr>
        <w:pageBreakBefore w:val="0"/>
        <w:kinsoku/>
        <w:wordWrap/>
        <w:overflowPunct/>
        <w:topLinePunct w:val="0"/>
        <w:autoSpaceDE/>
        <w:autoSpaceDN/>
        <w:bidi w:val="0"/>
        <w:adjustRightInd w:val="0"/>
        <w:snapToGrid w:val="0"/>
        <w:spacing w:line="500" w:lineRule="exact"/>
        <w:textAlignment w:val="auto"/>
        <w:rPr>
          <w:rFonts w:hint="default" w:ascii="仿宋" w:hAnsi="仿宋" w:eastAsia="仿宋" w:cs="仿宋"/>
          <w:b/>
          <w:bCs/>
          <w:sz w:val="28"/>
          <w:szCs w:val="28"/>
          <w:highlight w:val="none"/>
          <w:lang w:val="en-US" w:eastAsia="zh-CN"/>
        </w:rPr>
      </w:pPr>
      <w:r>
        <w:rPr>
          <w:rFonts w:hint="eastAsia" w:ascii="宋体" w:hAnsi="宋体" w:eastAsia="宋体" w:cs="宋体"/>
          <w:b/>
          <w:bCs/>
          <w:sz w:val="32"/>
          <w:szCs w:val="32"/>
          <w:highlight w:val="none"/>
          <w:lang w:val="en-US" w:eastAsia="zh-CN"/>
        </w:rPr>
        <w:t>第一部分 技术要求</w:t>
      </w:r>
    </w:p>
    <w:p>
      <w:pPr>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一、项目位置</w:t>
      </w:r>
      <w:bookmarkEnd w:id="2"/>
      <w:bookmarkEnd w:id="3"/>
    </w:p>
    <w:p>
      <w:pPr>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snapToGrid/>
          <w:spacing w:val="0"/>
          <w:w w:val="100"/>
          <w:kern w:val="2"/>
          <w:position w:val="0"/>
          <w:sz w:val="28"/>
          <w:szCs w:val="28"/>
          <w:highlight w:val="none"/>
          <w:u w:val="none"/>
          <w:shd w:val="clear"/>
          <w:lang w:val="zh-TW" w:eastAsia="zh-CN" w:bidi="zh-TW"/>
        </w:rPr>
      </w:pPr>
      <w:r>
        <w:rPr>
          <w:rFonts w:hint="eastAsia" w:ascii="仿宋" w:hAnsi="仿宋" w:eastAsia="仿宋" w:cs="仿宋"/>
          <w:snapToGrid/>
          <w:spacing w:val="0"/>
          <w:w w:val="100"/>
          <w:kern w:val="2"/>
          <w:position w:val="0"/>
          <w:sz w:val="28"/>
          <w:szCs w:val="28"/>
          <w:highlight w:val="none"/>
          <w:u w:val="none"/>
          <w:shd w:val="clear"/>
          <w:lang w:val="zh-TW" w:eastAsia="zh-CN" w:bidi="zh-TW"/>
        </w:rPr>
        <w:t>珠海市第三人民医院(珠海市慢性病防治中心、珠海市职业病防治院)(以下简称“三院”)坐落于粤港澳大湾区门户枢纽城市-珠海，毗邻港澳，是一所集医疗、疾控、教学、科研为一体的市属公立医院，前身为珠海市慢性病防治中心及珠海市结核病防治所。医院现为全市公共卫生疾病预防控制体系重点建设单位，主要承担全市精神心理、皮肤性病(美容)、结核病、职业病及麻风病的诊疗、防控、管治任务和慢性病医防协同任务。</w:t>
      </w:r>
    </w:p>
    <w:p>
      <w:pPr>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b/>
          <w:bCs/>
          <w:sz w:val="28"/>
          <w:szCs w:val="28"/>
          <w:highlight w:val="none"/>
          <w:lang w:val="en-US" w:eastAsia="zh-CN"/>
        </w:rPr>
      </w:pPr>
      <w:r>
        <w:rPr>
          <w:rFonts w:hint="eastAsia" w:ascii="仿宋" w:hAnsi="仿宋" w:eastAsia="仿宋" w:cs="仿宋"/>
          <w:snapToGrid/>
          <w:spacing w:val="0"/>
          <w:w w:val="100"/>
          <w:kern w:val="2"/>
          <w:position w:val="0"/>
          <w:sz w:val="28"/>
          <w:szCs w:val="28"/>
          <w:highlight w:val="none"/>
          <w:u w:val="none"/>
          <w:shd w:val="clear"/>
          <w:lang w:val="zh-TW" w:eastAsia="zh-CN" w:bidi="zh-TW"/>
        </w:rPr>
        <w:t>医院总占地面积4.86万平方米，建筑面积9.26万平方米，整体规划床位800张，开放床位521张，现已搭建以南屏主院区为主体，紫荆部和新村部为分部的“一体两翼”、“三角互联”办院格局。</w:t>
      </w:r>
      <w:bookmarkStart w:id="4" w:name="_Toc27028"/>
      <w:bookmarkStart w:id="5" w:name="_Toc27463"/>
    </w:p>
    <w:p>
      <w:pPr>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二、服务范围</w:t>
      </w:r>
      <w:bookmarkEnd w:id="4"/>
      <w:bookmarkEnd w:id="5"/>
    </w:p>
    <w:p>
      <w:pPr>
        <w:pageBreakBefore w:val="0"/>
        <w:kinsoku/>
        <w:wordWrap/>
        <w:overflowPunct/>
        <w:topLinePunct w:val="0"/>
        <w:autoSpaceDE/>
        <w:autoSpaceDN/>
        <w:bidi w:val="0"/>
        <w:adjustRightInd w:val="0"/>
        <w:snapToGrid w:val="0"/>
        <w:spacing w:line="500" w:lineRule="exact"/>
        <w:ind w:firstLine="560" w:firstLineChars="200"/>
        <w:jc w:val="left"/>
        <w:textAlignment w:val="auto"/>
        <w:rPr>
          <w:rFonts w:hint="eastAsia" w:ascii="仿宋" w:hAnsi="仿宋" w:eastAsia="仿宋" w:cs="仿宋"/>
          <w:snapToGrid/>
          <w:spacing w:val="0"/>
          <w:w w:val="100"/>
          <w:kern w:val="2"/>
          <w:position w:val="0"/>
          <w:sz w:val="28"/>
          <w:szCs w:val="28"/>
          <w:highlight w:val="none"/>
          <w:u w:val="none"/>
          <w:shd w:val="clear"/>
          <w:lang w:val="zh-TW" w:eastAsia="zh-TW" w:bidi="zh-TW"/>
        </w:rPr>
      </w:pPr>
      <w:r>
        <w:rPr>
          <w:rFonts w:hint="eastAsia" w:ascii="仿宋" w:hAnsi="仿宋" w:eastAsia="仿宋" w:cs="仿宋"/>
          <w:snapToGrid/>
          <w:spacing w:val="0"/>
          <w:w w:val="100"/>
          <w:kern w:val="2"/>
          <w:position w:val="0"/>
          <w:sz w:val="28"/>
          <w:szCs w:val="28"/>
          <w:highlight w:val="none"/>
          <w:u w:val="none"/>
          <w:shd w:val="clear"/>
          <w:lang w:val="zh-TW" w:eastAsia="zh-TW" w:bidi="zh-TW"/>
        </w:rPr>
        <w:t>医院污水处理运营所涉及的全部内容。</w:t>
      </w:r>
    </w:p>
    <w:p>
      <w:pPr>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b/>
          <w:bCs/>
          <w:sz w:val="28"/>
          <w:szCs w:val="28"/>
          <w:highlight w:val="none"/>
          <w:lang w:val="en-US" w:eastAsia="zh-CN"/>
        </w:rPr>
      </w:pPr>
      <w:bookmarkStart w:id="6" w:name="_Toc15466"/>
      <w:bookmarkStart w:id="7" w:name="_Toc17624"/>
      <w:r>
        <w:rPr>
          <w:rFonts w:hint="eastAsia" w:ascii="仿宋" w:hAnsi="仿宋" w:eastAsia="仿宋" w:cs="仿宋"/>
          <w:b/>
          <w:bCs/>
          <w:sz w:val="28"/>
          <w:szCs w:val="28"/>
          <w:highlight w:val="none"/>
          <w:lang w:val="en-US" w:eastAsia="zh-CN"/>
        </w:rPr>
        <w:t>三、运营水量及工艺</w:t>
      </w:r>
      <w:bookmarkEnd w:id="6"/>
      <w:bookmarkEnd w:id="7"/>
    </w:p>
    <w:p>
      <w:pPr>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b w:val="0"/>
          <w:bCs w:val="0"/>
          <w:sz w:val="28"/>
          <w:szCs w:val="28"/>
          <w:highlight w:val="none"/>
          <w:lang w:val="en-US" w:eastAsia="zh-CN"/>
        </w:rPr>
      </w:pPr>
      <w:bookmarkStart w:id="8" w:name="_Toc8224"/>
      <w:bookmarkStart w:id="9" w:name="_Toc15057"/>
      <w:r>
        <w:rPr>
          <w:rFonts w:hint="eastAsia" w:ascii="仿宋" w:hAnsi="仿宋" w:eastAsia="仿宋" w:cs="仿宋"/>
          <w:b w:val="0"/>
          <w:bCs w:val="0"/>
          <w:sz w:val="28"/>
          <w:szCs w:val="28"/>
          <w:highlight w:val="none"/>
          <w:lang w:val="en-US" w:eastAsia="zh-CN"/>
        </w:rPr>
        <w:t>1.南屏主院区总污水处理系统每天的设计处理量为1000m3/d，目前实际处理水量为250m3/d（具体水量按现场实际处理为准），处理工艺为“格栅+絮凝+沉淀+消毒”。</w:t>
      </w:r>
    </w:p>
    <w:p>
      <w:pPr>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2.南屏主院区制剂室污水处理系统，处理量为6m3/d，处理工艺为“水解酸化+接触氧化+MBR膜+消毒”。</w:t>
      </w:r>
    </w:p>
    <w:p>
      <w:pPr>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3.紫荆部污水站每天的处理量为30m3/d。</w:t>
      </w:r>
    </w:p>
    <w:p>
      <w:pPr>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4.新村部污水站每天的处理量为6m3/d。</w:t>
      </w:r>
    </w:p>
    <w:p>
      <w:pPr>
        <w:pStyle w:val="14"/>
        <w:spacing w:line="500" w:lineRule="exact"/>
        <w:rPr>
          <w:rFonts w:hint="eastAsia" w:ascii="仿宋" w:hAnsi="仿宋" w:eastAsia="仿宋" w:cs="仿宋"/>
          <w:sz w:val="28"/>
          <w:szCs w:val="28"/>
          <w:lang w:val="en-US" w:eastAsia="zh-CN"/>
        </w:rPr>
      </w:pPr>
      <w:r>
        <w:rPr>
          <w:rFonts w:hint="eastAsia" w:ascii="仿宋" w:hAnsi="仿宋" w:eastAsia="仿宋" w:cs="仿宋"/>
          <w:b w:val="0"/>
          <w:bCs w:val="0"/>
          <w:sz w:val="28"/>
          <w:szCs w:val="28"/>
          <w:highlight w:val="none"/>
          <w:lang w:val="en-US" w:eastAsia="zh-CN"/>
        </w:rPr>
        <w:t>5.南屏主院区污水处理系统产生废气通过臭气吸收塔进行处理达标后排放。</w:t>
      </w:r>
    </w:p>
    <w:p>
      <w:pPr>
        <w:pageBreakBefore w:val="0"/>
        <w:numPr>
          <w:ilvl w:val="-1"/>
          <w:numId w:val="0"/>
        </w:numPr>
        <w:kinsoku/>
        <w:wordWrap/>
        <w:overflowPunct/>
        <w:topLinePunct w:val="0"/>
        <w:autoSpaceDE/>
        <w:autoSpaceDN/>
        <w:bidi w:val="0"/>
        <w:adjustRightInd w:val="0"/>
        <w:snapToGrid w:val="0"/>
        <w:spacing w:line="500" w:lineRule="exact"/>
        <w:ind w:firstLine="562"/>
        <w:textAlignment w:val="auto"/>
        <w:rPr>
          <w:rFonts w:hint="eastAsia" w:ascii="仿宋" w:hAnsi="仿宋" w:eastAsia="仿宋" w:cs="仿宋"/>
          <w:sz w:val="28"/>
          <w:szCs w:val="28"/>
        </w:rPr>
      </w:pPr>
      <w:r>
        <w:rPr>
          <w:rFonts w:hint="eastAsia" w:ascii="仿宋" w:hAnsi="仿宋" w:eastAsia="仿宋" w:cs="仿宋"/>
          <w:b/>
          <w:bCs/>
          <w:sz w:val="28"/>
          <w:szCs w:val="28"/>
          <w:highlight w:val="none"/>
          <w:lang w:val="en-US" w:eastAsia="zh-CN"/>
        </w:rPr>
        <w:t>四、</w:t>
      </w:r>
      <w:r>
        <w:rPr>
          <w:rFonts w:hint="eastAsia" w:ascii="仿宋" w:hAnsi="仿宋" w:eastAsia="仿宋" w:cs="仿宋"/>
          <w:b/>
          <w:bCs/>
          <w:sz w:val="28"/>
          <w:szCs w:val="28"/>
          <w:highlight w:val="none"/>
          <w:lang w:val="en-US" w:eastAsia="zh-CN"/>
        </w:rPr>
        <w:t>服务内容</w:t>
      </w:r>
      <w:bookmarkEnd w:id="8"/>
      <w:bookmarkEnd w:id="9"/>
    </w:p>
    <w:p>
      <w:pPr>
        <w:pageBreakBefore w:val="0"/>
        <w:numPr>
          <w:ilvl w:val="0"/>
          <w:numId w:val="1"/>
        </w:numPr>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服务总要求</w:t>
      </w:r>
    </w:p>
    <w:p>
      <w:pPr>
        <w:adjustRightInd w:val="0"/>
        <w:snapToGrid w:val="0"/>
        <w:spacing w:line="500" w:lineRule="exact"/>
        <w:ind w:firstLine="480"/>
        <w:rPr>
          <w:rFonts w:hint="eastAsia" w:ascii="仿宋" w:hAnsi="仿宋" w:eastAsia="仿宋" w:cs="仿宋"/>
          <w:sz w:val="28"/>
          <w:szCs w:val="28"/>
          <w:highlight w:val="none"/>
          <w:lang w:val="en-US" w:eastAsia="zh-CN"/>
        </w:rPr>
      </w:pPr>
      <w:r>
        <w:rPr>
          <w:rFonts w:hint="eastAsia" w:ascii="仿宋" w:hAnsi="仿宋" w:eastAsia="仿宋" w:cs="仿宋"/>
          <w:b w:val="0"/>
          <w:bCs w:val="0"/>
          <w:sz w:val="28"/>
          <w:szCs w:val="28"/>
          <w:highlight w:val="none"/>
          <w:lang w:val="en-US" w:eastAsia="zh-CN"/>
        </w:rPr>
        <w:t>1.成交供应商对采购人的污水站及污水处理系统设施运行进行日常管理和维护保养，按照合同约定及时维修或上报采购人，保障设备的正常运行。维修材料单价300元（含300元）及以下项目由成交供应商承担相关费用</w:t>
      </w:r>
      <w:r>
        <w:rPr>
          <w:rFonts w:hint="eastAsia" w:ascii="仿宋" w:hAnsi="仿宋" w:eastAsia="仿宋" w:cs="仿宋"/>
          <w:b w:val="0"/>
          <w:bCs w:val="0"/>
          <w:sz w:val="28"/>
          <w:szCs w:val="28"/>
          <w:highlight w:val="none"/>
          <w:lang w:val="en-US" w:eastAsia="zh-CN"/>
        </w:rPr>
        <w:t>（维修材料清单详见附件2）</w:t>
      </w:r>
      <w:r>
        <w:rPr>
          <w:rFonts w:hint="eastAsia" w:ascii="仿宋" w:hAnsi="仿宋" w:eastAsia="仿宋" w:cs="仿宋"/>
          <w:b w:val="0"/>
          <w:bCs w:val="0"/>
          <w:sz w:val="28"/>
          <w:szCs w:val="28"/>
          <w:highlight w:val="none"/>
          <w:lang w:val="en-US" w:eastAsia="zh-CN"/>
        </w:rPr>
        <w:t>，单价300元以上的维修和设备更换由采购人提供材料并安装或由第三方负责安装，成交供应商应给予配合。若因成交供应商人为损坏或保养不当导致的设备损坏，其更换费用由成交供应商承担</w:t>
      </w:r>
      <w:r>
        <w:rPr>
          <w:rFonts w:hint="eastAsia" w:ascii="仿宋" w:hAnsi="仿宋" w:eastAsia="仿宋" w:cs="仿宋"/>
          <w:sz w:val="28"/>
          <w:szCs w:val="28"/>
          <w:highlight w:val="none"/>
          <w:lang w:val="en-US" w:eastAsia="zh-CN"/>
        </w:rPr>
        <w:t>。</w:t>
      </w:r>
    </w:p>
    <w:p>
      <w:pPr>
        <w:adjustRightInd w:val="0"/>
        <w:snapToGrid w:val="0"/>
        <w:spacing w:before="0" w:line="500" w:lineRule="exact"/>
        <w:ind w:firstLine="480"/>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2.</w:t>
      </w:r>
      <w:r>
        <w:rPr>
          <w:rFonts w:hint="eastAsia" w:ascii="仿宋" w:hAnsi="仿宋" w:eastAsia="仿宋" w:cs="仿宋"/>
          <w:b w:val="0"/>
          <w:bCs w:val="0"/>
          <w:sz w:val="28"/>
          <w:szCs w:val="28"/>
          <w:highlight w:val="none"/>
          <w:lang w:val="en-US" w:eastAsia="zh-CN"/>
        </w:rPr>
        <w:t>如采购人污水站或污水处理系统设施出现发生设备故障或污水处理相关技术问题或突发事件等情况，成交供应商应1小时内作出反应并赶到现场，配合采购人做好应急处理方案，确保污水达标排放。自然灾害、不可抗力的因素除外。</w:t>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sz w:val="28"/>
          <w:szCs w:val="28"/>
          <w:highlight w:val="none"/>
          <w:lang w:val="en-US" w:eastAsia="zh-CN"/>
        </w:rPr>
        <w:t>3.成交供应商</w:t>
      </w:r>
      <w:r>
        <w:rPr>
          <w:rFonts w:hint="eastAsia" w:ascii="仿宋" w:hAnsi="仿宋" w:eastAsia="仿宋" w:cs="仿宋"/>
          <w:b w:val="0"/>
          <w:bCs w:val="0"/>
          <w:sz w:val="28"/>
          <w:szCs w:val="28"/>
          <w:highlight w:val="none"/>
          <w:lang w:val="en-US" w:eastAsia="zh-CN"/>
        </w:rPr>
        <w:t>所采用的消毒药物及消毒品符合国家相关标准；消毒药物及消毒品的生产商应具备卫生部核发的《消毒产品生产企业卫生许可证》、产品备案凭证或者卫生许可批件。</w:t>
      </w:r>
    </w:p>
    <w:p>
      <w:pPr>
        <w:adjustRightInd w:val="0"/>
        <w:snapToGrid w:val="0"/>
        <w:spacing w:before="0" w:line="500" w:lineRule="exact"/>
        <w:ind w:firstLine="48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4.成交供应商在服务期内必须按相关规范及标准做好污水处理的日常跟踪检测及记录，保证污水处理运营符合相关监督单位要求，产生检测费用由成交供应商负责。</w:t>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5.成交供应商应服从采购人按照医院污水处理行业的有关标准、规范对成交供应商进行的监督和管理。</w:t>
      </w:r>
      <w:r>
        <w:rPr>
          <w:rFonts w:hint="eastAsia" w:ascii="仿宋" w:hAnsi="仿宋" w:eastAsia="仿宋" w:cs="仿宋"/>
          <w:color w:val="000000"/>
          <w:sz w:val="28"/>
          <w:szCs w:val="28"/>
          <w:highlight w:val="none"/>
          <w:lang w:val="en-US" w:eastAsia="zh-CN"/>
        </w:rPr>
        <w:t>成交供应商在响应文件提供拟投入到本项目的人员资质，在合同履行期间驻场的人员资质必须与响应文件相匹配。</w:t>
      </w:r>
      <w:r>
        <w:rPr>
          <w:rFonts w:hint="eastAsia" w:ascii="仿宋" w:hAnsi="仿宋" w:eastAsia="仿宋" w:cs="仿宋"/>
          <w:b w:val="0"/>
          <w:bCs w:val="0"/>
          <w:sz w:val="28"/>
          <w:szCs w:val="28"/>
          <w:highlight w:val="none"/>
          <w:lang w:val="en-US" w:eastAsia="zh-CN"/>
        </w:rPr>
        <w:t>同时，成交供应商安排驻点运营管理及人员严格服从采购人的管理和监督，必须每月制定运营情况报告（包括运营业情况、存在问题与分析、解决方案等）</w:t>
      </w:r>
      <w:r>
        <w:rPr>
          <w:rFonts w:hint="eastAsia" w:ascii="仿宋" w:hAnsi="仿宋" w:eastAsia="仿宋" w:cs="仿宋"/>
          <w:color w:val="000000"/>
          <w:sz w:val="28"/>
          <w:szCs w:val="28"/>
          <w:highlight w:val="none"/>
        </w:rPr>
        <w:t>及监督评价交采购人审核、确认</w:t>
      </w:r>
      <w:r>
        <w:rPr>
          <w:rFonts w:hint="eastAsia" w:ascii="仿宋" w:hAnsi="仿宋" w:eastAsia="仿宋" w:cs="仿宋"/>
          <w:b w:val="0"/>
          <w:bCs w:val="0"/>
          <w:sz w:val="28"/>
          <w:szCs w:val="28"/>
          <w:highlight w:val="none"/>
          <w:lang w:val="en-US" w:eastAsia="zh-CN"/>
        </w:rPr>
        <w:t>。</w:t>
      </w:r>
      <w:r>
        <w:rPr>
          <w:rFonts w:hint="eastAsia" w:ascii="仿宋" w:hAnsi="仿宋" w:eastAsia="仿宋" w:cs="仿宋"/>
          <w:b w:val="0"/>
          <w:bCs w:val="0"/>
          <w:sz w:val="28"/>
          <w:szCs w:val="28"/>
          <w:highlight w:val="none"/>
          <w:lang w:val="en-US" w:eastAsia="zh-CN"/>
        </w:rPr>
        <w:t>每个月所有的巡查</w:t>
      </w:r>
      <w:r>
        <w:rPr>
          <w:rFonts w:hint="eastAsia" w:ascii="仿宋" w:hAnsi="仿宋" w:eastAsia="仿宋" w:cs="仿宋"/>
          <w:b w:val="0"/>
          <w:bCs w:val="0"/>
          <w:sz w:val="28"/>
          <w:szCs w:val="28"/>
          <w:highlight w:val="none"/>
          <w:lang w:val="en-US" w:eastAsia="zh-CN"/>
        </w:rPr>
        <w:t>、</w:t>
      </w:r>
      <w:r>
        <w:rPr>
          <w:rFonts w:hint="eastAsia" w:ascii="仿宋" w:hAnsi="仿宋" w:eastAsia="仿宋" w:cs="仿宋"/>
          <w:b w:val="0"/>
          <w:bCs w:val="0"/>
          <w:sz w:val="28"/>
          <w:szCs w:val="28"/>
          <w:highlight w:val="none"/>
          <w:lang w:val="en-US" w:eastAsia="zh-CN"/>
        </w:rPr>
        <w:t>维保维修</w:t>
      </w:r>
      <w:r>
        <w:rPr>
          <w:rFonts w:hint="eastAsia" w:ascii="仿宋" w:hAnsi="仿宋" w:eastAsia="仿宋" w:cs="仿宋"/>
          <w:b w:val="0"/>
          <w:bCs w:val="0"/>
          <w:sz w:val="28"/>
          <w:szCs w:val="28"/>
          <w:highlight w:val="none"/>
          <w:lang w:val="en-US" w:eastAsia="zh-CN"/>
        </w:rPr>
        <w:t>、</w:t>
      </w:r>
      <w:r>
        <w:rPr>
          <w:rFonts w:hint="eastAsia" w:ascii="仿宋" w:hAnsi="仿宋" w:eastAsia="仿宋" w:cs="仿宋"/>
          <w:b w:val="0"/>
          <w:bCs w:val="0"/>
          <w:sz w:val="28"/>
          <w:szCs w:val="28"/>
          <w:highlight w:val="none"/>
          <w:lang w:val="en-US" w:eastAsia="zh-CN"/>
        </w:rPr>
        <w:t>定时/定期检测水质报告、监督评价等全部资料按采购人要求做好装订成册并交采购人审核确认，以此作为每月付款依据。</w:t>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6.成交供应商运行管理人员和岗位操作人员必须经培训后上岗，</w:t>
      </w:r>
      <w:commentRangeStart w:id="0"/>
      <w:r>
        <w:rPr>
          <w:rFonts w:hint="eastAsia" w:ascii="仿宋" w:hAnsi="仿宋" w:eastAsia="仿宋" w:cs="仿宋"/>
          <w:color w:val="000000"/>
          <w:sz w:val="28"/>
          <w:szCs w:val="28"/>
          <w:lang w:val="en-US" w:eastAsia="zh-CN"/>
        </w:rPr>
        <w:t>人员需具备污</w:t>
      </w:r>
      <w:r>
        <w:rPr>
          <w:rFonts w:hint="eastAsia" w:ascii="仿宋" w:hAnsi="仿宋" w:eastAsia="仿宋" w:cs="仿宋"/>
          <w:color w:val="000000"/>
          <w:sz w:val="28"/>
          <w:szCs w:val="28"/>
          <w:lang w:eastAsia="zh-CN"/>
        </w:rPr>
        <w:t>水处理工或水工的证书（</w:t>
      </w:r>
      <w:r>
        <w:rPr>
          <w:rFonts w:hint="eastAsia" w:ascii="仿宋" w:hAnsi="仿宋" w:eastAsia="仿宋" w:cs="仿宋"/>
          <w:color w:val="000000"/>
          <w:sz w:val="28"/>
          <w:szCs w:val="28"/>
          <w:lang w:val="en-US" w:eastAsia="zh-CN"/>
        </w:rPr>
        <w:t>上岗证书提交采购人备案）</w:t>
      </w:r>
      <w:r>
        <w:rPr>
          <w:rFonts w:hint="eastAsia" w:ascii="仿宋" w:hAnsi="仿宋" w:eastAsia="仿宋" w:cs="仿宋"/>
          <w:color w:val="000000"/>
          <w:sz w:val="28"/>
          <w:szCs w:val="28"/>
        </w:rPr>
        <w:t>，</w:t>
      </w:r>
      <w:commentRangeEnd w:id="0"/>
      <w:r>
        <w:commentReference w:id="0"/>
      </w:r>
      <w:r>
        <w:rPr>
          <w:rFonts w:hint="eastAsia" w:ascii="仿宋" w:hAnsi="仿宋" w:eastAsia="仿宋" w:cs="仿宋"/>
          <w:b w:val="0"/>
          <w:bCs w:val="0"/>
          <w:sz w:val="28"/>
          <w:szCs w:val="28"/>
          <w:highlight w:val="none"/>
          <w:lang w:val="en-US" w:eastAsia="zh-CN"/>
        </w:rPr>
        <w:t>必须熟悉采购人污水处理站的处理工艺、设施、设备的运行要求和技术指标。如成交供应商的工作人员不符合法律规定或者合同约定的,采购人有权要求成交供应商在3天内予以更换,成交供应商必须在限期内更换符合约定或者规定的工作人员,并向采购人提供人员更换报告。成交供应商的工作人员与采购人之间不存在劳动合同关系，该部分工作人员的工资福利待遇由成交供应商承担。</w:t>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7.成交供应商工作人员需做好职业防护，成交供应商工作人员发生职业暴露应按医院职业暴露处理报告流程进行处理和上报，若发生工伤、意外、计生等劳资纠纷由成交供应商自行负责，与采购人无关。</w:t>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8.成交供应商运行管理人员和岗位操作人员应按要求巡查各构筑物、设备、电器和仪表的运行情况和污水管网情况，并做好相关巡查记录，发现运行不正常应及时处理或报告采购人。成交供应商在使用采购人各构筑物、设备、电器和仪表时应当妥善保护各构筑物、设备、电器和仪表，因成交供应商过错造成上述构筑物、设备、电器和仪表损坏的，成交供应商须赔偿全部的维修费用或者重置费用。</w:t>
      </w:r>
    </w:p>
    <w:p>
      <w:pPr>
        <w:pageBreakBefore w:val="0"/>
        <w:kinsoku/>
        <w:wordWrap/>
        <w:overflowPunct/>
        <w:topLinePunct w:val="0"/>
        <w:autoSpaceDE/>
        <w:autoSpaceDN/>
        <w:bidi w:val="0"/>
        <w:adjustRightInd w:val="0"/>
        <w:snapToGrid w:val="0"/>
        <w:spacing w:before="0" w:line="500" w:lineRule="exact"/>
        <w:ind w:right="0" w:firstLine="480" w:firstLineChars="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9</w:t>
      </w:r>
      <w:r>
        <w:rPr>
          <w:rFonts w:hint="eastAsia" w:ascii="仿宋" w:hAnsi="仿宋" w:eastAsia="仿宋" w:cs="仿宋"/>
          <w:b w:val="0"/>
          <w:bCs w:val="0"/>
          <w:sz w:val="28"/>
          <w:szCs w:val="28"/>
          <w:highlight w:val="none"/>
          <w:lang w:val="en-US" w:eastAsia="zh-CN"/>
        </w:rPr>
        <w:t>.成交供应商必须落实各项安全生产责任制和安全生产“一岗双责”制，确保安全生产，并服从采购人和有关部门的监管。</w:t>
      </w:r>
    </w:p>
    <w:p>
      <w:pPr>
        <w:pageBreakBefore w:val="0"/>
        <w:kinsoku/>
        <w:wordWrap/>
        <w:overflowPunct/>
        <w:topLinePunct w:val="0"/>
        <w:autoSpaceDE w:val="0"/>
        <w:autoSpaceDN w:val="0"/>
        <w:bidi w:val="0"/>
        <w:adjustRightInd w:val="0"/>
        <w:snapToGrid/>
        <w:spacing w:before="0" w:line="360" w:lineRule="auto"/>
        <w:ind w:right="0" w:firstLine="56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10</w:t>
      </w:r>
      <w:r>
        <w:rPr>
          <w:rFonts w:hint="eastAsia" w:ascii="仿宋" w:hAnsi="仿宋" w:eastAsia="仿宋" w:cs="仿宋"/>
          <w:b w:val="0"/>
          <w:bCs w:val="0"/>
          <w:sz w:val="28"/>
          <w:szCs w:val="28"/>
          <w:highlight w:val="none"/>
          <w:lang w:val="en-US" w:eastAsia="zh-CN"/>
        </w:rPr>
        <w:t>.</w:t>
      </w:r>
      <w:commentRangeStart w:id="1"/>
      <w:r>
        <w:rPr>
          <w:rFonts w:hint="eastAsia" w:ascii="仿宋" w:hAnsi="仿宋" w:eastAsia="仿宋" w:cs="仿宋"/>
          <w:b w:val="0"/>
          <w:bCs w:val="0"/>
          <w:sz w:val="28"/>
          <w:szCs w:val="28"/>
          <w:highlight w:val="none"/>
          <w:lang w:val="en-US" w:eastAsia="zh-CN"/>
        </w:rPr>
        <w:t>成交供应商应</w:t>
      </w:r>
      <w:r>
        <w:rPr>
          <w:rFonts w:hint="eastAsia" w:ascii="仿宋" w:hAnsi="仿宋" w:eastAsia="仿宋" w:cs="仿宋"/>
          <w:color w:val="000000"/>
          <w:sz w:val="28"/>
          <w:szCs w:val="28"/>
          <w:lang w:val="en-US" w:eastAsia="zh-CN"/>
        </w:rPr>
        <w:t>编制环境突发环境应急预案，请专家审核后出具备案稿上报环保局审核，在环保局备案成功。</w:t>
      </w:r>
      <w:commentRangeEnd w:id="1"/>
      <w:r>
        <w:commentReference w:id="1"/>
      </w:r>
      <w:r>
        <w:rPr>
          <w:rFonts w:hint="eastAsia" w:ascii="仿宋" w:hAnsi="仿宋" w:eastAsia="仿宋" w:cs="仿宋"/>
          <w:b w:val="0"/>
          <w:bCs w:val="0"/>
          <w:sz w:val="28"/>
          <w:szCs w:val="28"/>
          <w:highlight w:val="none"/>
          <w:lang w:val="en-US" w:eastAsia="zh-CN"/>
        </w:rPr>
        <w:t>根据环保部门的要求建立完整的运行台帐。</w:t>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11</w:t>
      </w:r>
      <w:r>
        <w:rPr>
          <w:rFonts w:hint="eastAsia" w:ascii="仿宋" w:hAnsi="仿宋" w:eastAsia="仿宋" w:cs="仿宋"/>
          <w:b w:val="0"/>
          <w:bCs w:val="0"/>
          <w:sz w:val="28"/>
          <w:szCs w:val="28"/>
          <w:highlight w:val="none"/>
          <w:lang w:val="en-US" w:eastAsia="zh-CN"/>
        </w:rPr>
        <w:t>.成交供应商应按采购人的要求配合做好各项检查及迎检有关工作。</w:t>
      </w:r>
    </w:p>
    <w:p>
      <w:pPr>
        <w:pageBreakBefore w:val="0"/>
        <w:kinsoku/>
        <w:wordWrap/>
        <w:overflowPunct/>
        <w:topLinePunct w:val="0"/>
        <w:autoSpaceDE/>
        <w:autoSpaceDN/>
        <w:bidi w:val="0"/>
        <w:adjustRightInd w:val="0"/>
        <w:snapToGrid w:val="0"/>
        <w:spacing w:line="500" w:lineRule="exact"/>
        <w:ind w:firstLine="480"/>
        <w:textAlignment w:val="auto"/>
        <w:rPr>
          <w:rFonts w:hint="eastAsia" w:ascii="仿宋" w:hAnsi="仿宋" w:eastAsia="仿宋" w:cs="仿宋"/>
          <w:sz w:val="28"/>
          <w:szCs w:val="28"/>
          <w:highlight w:val="none"/>
          <w:lang w:val="en-US" w:eastAsia="zh-CN"/>
        </w:rPr>
      </w:pP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lang w:val="en-US" w:eastAsia="zh-CN"/>
        </w:rPr>
        <w:t>2</w:t>
      </w:r>
      <w:r>
        <w:rPr>
          <w:rFonts w:hint="eastAsia" w:ascii="仿宋" w:hAnsi="仿宋" w:eastAsia="仿宋" w:cs="仿宋"/>
          <w:b w:val="0"/>
          <w:bCs w:val="0"/>
          <w:sz w:val="28"/>
          <w:szCs w:val="28"/>
          <w:highlight w:val="none"/>
          <w:lang w:val="en-US" w:eastAsia="zh-CN"/>
        </w:rPr>
        <w:t>.成交供应商应负责与污水站运营管理相关的其他工作。</w:t>
      </w:r>
    </w:p>
    <w:p>
      <w:pPr>
        <w:pageBreakBefore w:val="0"/>
        <w:numPr>
          <w:ilvl w:val="-1"/>
          <w:numId w:val="0"/>
        </w:numPr>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（二）南屏主院区污水处理系统要求</w:t>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1.成交供应商委派不少于一名</w:t>
      </w:r>
      <w:commentRangeStart w:id="2"/>
      <w:r>
        <w:rPr>
          <w:rFonts w:hint="eastAsia" w:ascii="仿宋" w:hAnsi="仿宋" w:eastAsia="仿宋" w:cs="仿宋"/>
          <w:b w:val="0"/>
          <w:bCs w:val="0"/>
          <w:sz w:val="28"/>
          <w:szCs w:val="28"/>
          <w:highlight w:val="none"/>
          <w:lang w:val="en-US" w:eastAsia="zh-CN"/>
        </w:rPr>
        <w:t>操作人员（固定）技术人员</w:t>
      </w:r>
      <w:commentRangeEnd w:id="2"/>
      <w:r>
        <w:commentReference w:id="2"/>
      </w:r>
      <w:r>
        <w:rPr>
          <w:rFonts w:hint="eastAsia" w:ascii="仿宋" w:hAnsi="仿宋" w:eastAsia="仿宋" w:cs="仿宋"/>
          <w:b w:val="0"/>
          <w:bCs w:val="0"/>
          <w:sz w:val="28"/>
          <w:szCs w:val="28"/>
          <w:highlight w:val="none"/>
          <w:lang w:val="en-US" w:eastAsia="zh-CN"/>
        </w:rPr>
        <w:t>和不少于一名维修人员（机动）对总污水站和制剂室污水站现场进行管理。</w:t>
      </w:r>
    </w:p>
    <w:p>
      <w:pPr>
        <w:spacing w:line="500" w:lineRule="exact"/>
        <w:ind w:firstLine="48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成交供应商驻场的运营管理操作人员须穿着统一的制服，配戴专业上岗证，同时必须接受过必要的培训并具备岗位的操作技能和上岗资格证。成交供应商驻场人员不得擅自更换，若是需要更换应提前1个月告知采购人。成交供应商驻场人员工作时间为8:00-17:00，非经采购人同意不得擅自离岗或迟到或早退。</w:t>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3.保证出水排放、出水水质及废气处理符合国家标准和地方及行业行政管理部门的相关环保要求，保障污水处理及废气处理设备运行正常，保持污水站周围环境卫生清洁。</w:t>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4.严格按照污水处理及废气处理管理程序每天认真组织投放定量药物，确保污染处理合格率100%。</w:t>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5.每天打扫污水站值班室卫生（值班室位置：污水处理站），保持场地清洁。</w:t>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6.每天对污水站机械格栅进行清理，打包储存，格栅垃圾作为危废交由有资质的第三公司进行收运处置并取得合同和处置联单，并在危废平台进行申报，费用由成交供应商承担。</w:t>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7.每班交接后检查各电动设备是否正常，检查污水泵是否堵塞，交班前检查污水泵的浮球，防止失灵。</w:t>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8.每天巡查一次，查看设备运行情况，做好加药工作。每天做好设备运营记录、维保维修记录、用药登记记录、交接班记录等。</w:t>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9.院内设有叠螺污泥机，成交供应商需每周一次清理污水处理系统所产生的（包括集水井、调节池、沉淀池以及淤泥池等）污泥，污泥作为危废交由有资质的第三公司进行收运处置并取得合同和处置联单，并在危废平台进行申报，费用由成交供应商承担。</w:t>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10.成交供应商需要负责国家排污许可证证后的管理工作，工作内容包括（每天上传数据、监测方案、监测因子、台账、执行报告、污水/废气/噪声检测报告、信息公开、信息披露等）。并且包含出具国家排污许可证要求监测的CMA水质检测报告，检测项目与频次依据国家排污许可证的要求。</w:t>
      </w:r>
    </w:p>
    <w:p>
      <w:pPr>
        <w:pageBreakBefore w:val="0"/>
        <w:kinsoku/>
        <w:wordWrap/>
        <w:overflowPunct/>
        <w:topLinePunct w:val="0"/>
        <w:autoSpaceDE/>
        <w:autoSpaceDN/>
        <w:bidi w:val="0"/>
        <w:adjustRightInd w:val="0"/>
        <w:snapToGrid w:val="0"/>
        <w:spacing w:before="0" w:line="500" w:lineRule="exact"/>
        <w:ind w:right="0" w:firstLine="560" w:firstLineChars="20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11.采购人设有自动在线监测设备，包含COD、SS、余氯、PH、流量，成交供应商需要对在线监测设备进行校准、验收、运维等工作。成交供应商在服务期内需要对在线设备进行运维管理并且包含在线设备运维的试剂费用。</w:t>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12.执行《医疗机构水污染物排放标准》(GB18466-2005)的监测要求：每天进行两次pH值检测，每周检测CODCR、SS，每月至少监测1次粪大肠菌群数，每季度委托有资质的第三方检测机构进行一次水质检测，水质检测项目以国家排污许可证实施的为准，并符合当地行政管理部门最终要求和《综合医疗机构和其他医疗机构水污染物排放限值（日均值）》标准要求执行。</w:t>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13.每月对所有设备进行一次例行检修、保养，每月给污水站罗茨风机更换一次黄油，半年更换一次机油。</w:t>
      </w:r>
      <w:commentRangeStart w:id="3"/>
      <w:r>
        <w:rPr>
          <w:rFonts w:hint="eastAsia" w:ascii="仿宋" w:hAnsi="仿宋" w:eastAsia="仿宋" w:cs="仿宋"/>
          <w:color w:val="000000"/>
          <w:sz w:val="28"/>
          <w:szCs w:val="28"/>
          <w:highlight w:val="none"/>
        </w:rPr>
        <w:t>罗茨风机</w:t>
      </w:r>
      <w:r>
        <w:rPr>
          <w:rFonts w:hint="eastAsia" w:ascii="仿宋" w:hAnsi="仿宋" w:eastAsia="仿宋" w:cs="仿宋"/>
          <w:color w:val="000000"/>
          <w:sz w:val="28"/>
          <w:szCs w:val="28"/>
          <w:highlight w:val="none"/>
          <w:lang w:val="en-US" w:eastAsia="zh-CN"/>
        </w:rPr>
        <w:t>包含</w:t>
      </w:r>
      <w:r>
        <w:rPr>
          <w:rFonts w:hint="eastAsia" w:ascii="仿宋" w:hAnsi="仿宋" w:eastAsia="仿宋" w:cs="仿宋"/>
          <w:color w:val="000000"/>
          <w:sz w:val="28"/>
          <w:szCs w:val="28"/>
          <w:highlight w:val="none"/>
        </w:rPr>
        <w:t>更换齿轮油、堵转、更换皮带、控制线路维修</w:t>
      </w:r>
      <w:r>
        <w:rPr>
          <w:rFonts w:hint="eastAsia" w:ascii="仿宋" w:hAnsi="仿宋" w:eastAsia="仿宋" w:cs="仿宋"/>
          <w:color w:val="000000"/>
          <w:sz w:val="28"/>
          <w:szCs w:val="28"/>
          <w:highlight w:val="none"/>
          <w:lang w:val="en-US" w:eastAsia="zh-CN"/>
        </w:rPr>
        <w:t>等项目；潜水泵包含</w:t>
      </w:r>
      <w:r>
        <w:rPr>
          <w:rFonts w:hint="eastAsia" w:ascii="仿宋" w:hAnsi="仿宋" w:eastAsia="仿宋" w:cs="仿宋"/>
          <w:color w:val="000000"/>
          <w:sz w:val="28"/>
          <w:szCs w:val="28"/>
          <w:highlight w:val="none"/>
        </w:rPr>
        <w:t>更换机油、堵塞、浮球液位控制</w:t>
      </w:r>
      <w:r>
        <w:rPr>
          <w:rFonts w:hint="eastAsia" w:ascii="仿宋" w:hAnsi="仿宋" w:eastAsia="仿宋" w:cs="仿宋"/>
          <w:color w:val="000000"/>
          <w:sz w:val="28"/>
          <w:szCs w:val="28"/>
          <w:highlight w:val="none"/>
          <w:lang w:val="en-US" w:eastAsia="zh-CN"/>
        </w:rPr>
        <w:t>项目；</w:t>
      </w:r>
      <w:r>
        <w:rPr>
          <w:rFonts w:hint="eastAsia" w:ascii="仿宋" w:hAnsi="仿宋" w:eastAsia="仿宋" w:cs="仿宋"/>
          <w:color w:val="000000"/>
          <w:sz w:val="28"/>
          <w:szCs w:val="28"/>
          <w:highlight w:val="none"/>
        </w:rPr>
        <w:t>加药泵</w:t>
      </w:r>
      <w:r>
        <w:rPr>
          <w:rFonts w:hint="eastAsia" w:ascii="仿宋" w:hAnsi="仿宋" w:eastAsia="仿宋" w:cs="仿宋"/>
          <w:color w:val="000000"/>
          <w:sz w:val="28"/>
          <w:szCs w:val="28"/>
          <w:highlight w:val="none"/>
          <w:lang w:val="en-US" w:eastAsia="zh-CN"/>
        </w:rPr>
        <w:t>包含</w:t>
      </w:r>
      <w:r>
        <w:rPr>
          <w:rFonts w:hint="eastAsia" w:ascii="仿宋" w:hAnsi="仿宋" w:eastAsia="仿宋" w:cs="仿宋"/>
          <w:color w:val="000000"/>
          <w:sz w:val="28"/>
          <w:szCs w:val="28"/>
          <w:highlight w:val="none"/>
        </w:rPr>
        <w:t>加药泵的膜片、进出口阀、进出水管</w:t>
      </w:r>
      <w:r>
        <w:rPr>
          <w:rFonts w:hint="eastAsia" w:ascii="仿宋" w:hAnsi="仿宋" w:eastAsia="仿宋" w:cs="仿宋"/>
          <w:color w:val="000000"/>
          <w:sz w:val="28"/>
          <w:szCs w:val="28"/>
          <w:highlight w:val="none"/>
          <w:lang w:val="en-US" w:eastAsia="zh-CN"/>
        </w:rPr>
        <w:t>维修项目；</w:t>
      </w:r>
      <w:r>
        <w:rPr>
          <w:rFonts w:hint="eastAsia" w:ascii="仿宋" w:hAnsi="仿宋" w:eastAsia="仿宋" w:cs="仿宋"/>
          <w:color w:val="000000"/>
          <w:sz w:val="28"/>
          <w:szCs w:val="28"/>
          <w:highlight w:val="none"/>
        </w:rPr>
        <w:t>机械格栅定期上黄油、控制线路维修</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电控箱更换开关、接触器、热继电器、漏电开关、保险管、接线端子、按钮、指示灯、漏电开关、控制按键等</w:t>
      </w:r>
      <w:r>
        <w:rPr>
          <w:rFonts w:hint="eastAsia" w:ascii="仿宋" w:hAnsi="仿宋" w:eastAsia="仿宋" w:cs="仿宋"/>
          <w:color w:val="000000"/>
          <w:sz w:val="28"/>
          <w:szCs w:val="28"/>
          <w:highlight w:val="none"/>
          <w:lang w:val="en-US" w:eastAsia="zh-CN"/>
        </w:rPr>
        <w:t>；</w:t>
      </w:r>
      <w:r>
        <w:rPr>
          <w:rFonts w:hint="eastAsia" w:ascii="仿宋" w:hAnsi="仿宋" w:eastAsia="仿宋" w:cs="仿宋"/>
          <w:color w:val="000000"/>
          <w:sz w:val="28"/>
          <w:szCs w:val="28"/>
          <w:highlight w:val="none"/>
        </w:rPr>
        <w:t>喷淋塔废气处理设备循环水箱内清堵、喷淋塔底部的沉积物清理、喷淋塔中的填料球和喷淋层清堵</w:t>
      </w:r>
      <w:r>
        <w:rPr>
          <w:rFonts w:hint="eastAsia" w:ascii="仿宋" w:hAnsi="仿宋" w:eastAsia="仿宋" w:cs="仿宋"/>
          <w:color w:val="000000"/>
          <w:sz w:val="28"/>
          <w:szCs w:val="28"/>
          <w:highlight w:val="none"/>
          <w:lang w:val="en-US" w:eastAsia="zh-CN"/>
        </w:rPr>
        <w:t>等项目。</w:t>
      </w:r>
      <w:commentRangeEnd w:id="3"/>
      <w:r>
        <w:commentReference w:id="3"/>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14.协助采购人做好第三方水样的采集、配送工作的监督检查。</w:t>
      </w:r>
    </w:p>
    <w:p>
      <w:pPr>
        <w:pageBreakBefore w:val="0"/>
        <w:kinsoku/>
        <w:wordWrap/>
        <w:overflowPunct/>
        <w:topLinePunct w:val="0"/>
        <w:autoSpaceDE/>
        <w:autoSpaceDN/>
        <w:bidi w:val="0"/>
        <w:adjustRightInd w:val="0"/>
        <w:snapToGrid w:val="0"/>
        <w:spacing w:before="0" w:line="500" w:lineRule="exact"/>
        <w:ind w:right="0" w:firstLine="560" w:firstLineChars="200"/>
        <w:jc w:val="left"/>
        <w:textAlignment w:val="auto"/>
        <w:rPr>
          <w:rFonts w:hint="eastAsia" w:ascii="仿宋" w:hAnsi="仿宋" w:eastAsia="仿宋" w:cs="仿宋"/>
          <w:b w:val="0"/>
          <w:bCs w:val="0"/>
          <w:sz w:val="28"/>
          <w:szCs w:val="28"/>
          <w:highlight w:val="darkGray"/>
          <w:lang w:val="en-US" w:eastAsia="zh-CN"/>
        </w:rPr>
      </w:pPr>
      <w:r>
        <w:rPr>
          <w:rFonts w:hint="eastAsia" w:ascii="仿宋" w:hAnsi="仿宋" w:eastAsia="仿宋" w:cs="仿宋"/>
          <w:b w:val="0"/>
          <w:bCs w:val="0"/>
          <w:sz w:val="28"/>
          <w:szCs w:val="28"/>
          <w:highlight w:val="none"/>
          <w:lang w:val="en-US" w:eastAsia="zh-CN"/>
        </w:rPr>
        <w:t>15.成交供应商发现污水处理设施有渗漏，应及时通知采购人并及时修补，做好应急措施，保证采购人污水排放正常运行。</w:t>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val="0"/>
          <w:bCs w:val="0"/>
          <w:sz w:val="28"/>
          <w:szCs w:val="28"/>
          <w:highlight w:val="none"/>
          <w:lang w:val="en-US" w:eastAsia="zh-CN"/>
        </w:rPr>
      </w:pPr>
      <w:commentRangeStart w:id="4"/>
      <w:r>
        <w:rPr>
          <w:rFonts w:hint="eastAsia" w:ascii="仿宋" w:hAnsi="仿宋" w:eastAsia="仿宋" w:cs="仿宋"/>
          <w:b w:val="0"/>
          <w:bCs w:val="0"/>
          <w:sz w:val="28"/>
          <w:szCs w:val="28"/>
          <w:highlight w:val="none"/>
          <w:lang w:val="en-US" w:eastAsia="zh-CN"/>
        </w:rPr>
        <w:t>16.成交供应商应加强水质检测工作，成交供应商每月委托第三方出一次检测报告上报给采购人，并对数据真实性负责；如因数据真实性问题造成的相关责任由成交供应商负责。如发现进水水质发生异常变化时，成交供应商应根据需要增加监测项目和频次，在落实相应处理措施的同时向采购人报告。</w:t>
      </w:r>
      <w:commentRangeEnd w:id="4"/>
      <w:r>
        <w:commentReference w:id="4"/>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val="0"/>
          <w:bCs w:val="0"/>
          <w:sz w:val="28"/>
          <w:szCs w:val="28"/>
          <w:highlight w:val="none"/>
          <w:lang w:val="en-US" w:eastAsia="zh-CN"/>
        </w:rPr>
      </w:pPr>
      <w:commentRangeStart w:id="5"/>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lang w:val="en-US" w:eastAsia="zh-CN"/>
        </w:rPr>
        <w:t>7</w:t>
      </w:r>
      <w:r>
        <w:rPr>
          <w:rFonts w:hint="eastAsia" w:ascii="仿宋" w:hAnsi="仿宋" w:eastAsia="仿宋" w:cs="仿宋"/>
          <w:b w:val="0"/>
          <w:bCs w:val="0"/>
          <w:sz w:val="28"/>
          <w:szCs w:val="28"/>
          <w:highlight w:val="none"/>
          <w:lang w:val="en-US" w:eastAsia="zh-CN"/>
        </w:rPr>
        <w:t>.当进水严重超标时，成交供应商经必要的应急处理手段后出水仍达不到规定的排放标准，甚至造成污水厂停产时，成交供应商必须立即向采购人报告事故情况，由有关部门确认事故责任。</w:t>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w:t>
      </w:r>
      <w:r>
        <w:rPr>
          <w:rFonts w:hint="eastAsia" w:ascii="仿宋" w:hAnsi="仿宋" w:eastAsia="仿宋" w:cs="仿宋"/>
          <w:b w:val="0"/>
          <w:bCs w:val="0"/>
          <w:sz w:val="28"/>
          <w:szCs w:val="28"/>
          <w:highlight w:val="none"/>
          <w:lang w:val="en-US" w:eastAsia="zh-CN"/>
        </w:rPr>
        <w:t>8</w:t>
      </w:r>
      <w:r>
        <w:rPr>
          <w:rFonts w:hint="eastAsia" w:ascii="仿宋" w:hAnsi="仿宋" w:eastAsia="仿宋" w:cs="仿宋"/>
          <w:b w:val="0"/>
          <w:bCs w:val="0"/>
          <w:sz w:val="28"/>
          <w:szCs w:val="28"/>
          <w:highlight w:val="none"/>
          <w:lang w:val="en-US" w:eastAsia="zh-CN"/>
        </w:rPr>
        <w:t>.成交供应商要根据运行工况进行污泥脱水处理，确保污泥含水率不大于80%</w:t>
      </w:r>
      <w:r>
        <w:rPr>
          <w:rFonts w:hint="eastAsia" w:ascii="仿宋" w:hAnsi="仿宋" w:eastAsia="仿宋" w:cs="仿宋"/>
          <w:b w:val="0"/>
          <w:bCs w:val="0"/>
          <w:sz w:val="28"/>
          <w:szCs w:val="28"/>
          <w:highlight w:val="none"/>
          <w:lang w:val="en-US" w:eastAsia="zh-CN"/>
        </w:rPr>
        <w:t>，</w:t>
      </w:r>
      <w:r>
        <w:rPr>
          <w:rFonts w:hint="eastAsia" w:ascii="仿宋" w:hAnsi="仿宋" w:eastAsia="仿宋" w:cs="仿宋"/>
          <w:b w:val="0"/>
          <w:bCs w:val="0"/>
          <w:sz w:val="28"/>
          <w:szCs w:val="28"/>
          <w:highlight w:val="none"/>
          <w:lang w:val="en-US" w:eastAsia="zh-CN"/>
        </w:rPr>
        <w:t>并委托有资质单位处置污泥。</w:t>
      </w:r>
      <w:commentRangeEnd w:id="5"/>
      <w:r>
        <w:commentReference w:id="5"/>
      </w:r>
    </w:p>
    <w:p>
      <w:pPr>
        <w:pStyle w:val="14"/>
        <w:adjustRightInd w:val="0"/>
        <w:snapToGrid w:val="0"/>
        <w:spacing w:line="500" w:lineRule="exact"/>
        <w:ind w:firstLine="600" w:firstLineChars="20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（三）紫荆部和新村部污水站要求</w:t>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1.严格按照污水处理管理程序每周认真组织投放定量药物。</w:t>
      </w:r>
    </w:p>
    <w:p>
      <w:pPr>
        <w:adjustRightInd w:val="0"/>
        <w:snapToGrid w:val="0"/>
        <w:spacing w:before="0" w:line="500" w:lineRule="exact"/>
        <w:ind w:firstLine="48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2.执行《医疗机构水污染物排放标准》(GB18466-2005)的监测要求，每月至少监测1次粪大肠菌群数并出具相应检测报告。</w:t>
      </w:r>
    </w:p>
    <w:p>
      <w:pPr>
        <w:adjustRightInd w:val="0"/>
        <w:snapToGrid w:val="0"/>
        <w:spacing w:line="500" w:lineRule="exact"/>
        <w:ind w:firstLine="480"/>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3.每月对所有设备进行一次例行检修、保养。</w:t>
      </w:r>
      <w:r>
        <w:rPr>
          <w:rFonts w:hint="eastAsia" w:ascii="仿宋" w:hAnsi="仿宋" w:eastAsia="仿宋" w:cs="仿宋"/>
          <w:b w:val="0"/>
          <w:bCs w:val="0"/>
          <w:sz w:val="28"/>
          <w:szCs w:val="28"/>
          <w:highlight w:val="none"/>
          <w:lang w:val="en-US" w:eastAsia="zh-CN"/>
        </w:rPr>
        <w:t>成交供应商发现污水处理设施有渗漏，应及时通知采购人并及时修补，做好应急措施，保证采购人污水排放正常运行。</w:t>
      </w:r>
    </w:p>
    <w:p>
      <w:pPr>
        <w:adjustRightInd w:val="0"/>
        <w:snapToGrid w:val="0"/>
        <w:spacing w:line="500" w:lineRule="exact"/>
        <w:ind w:firstLine="480"/>
        <w:rPr>
          <w:rFonts w:hint="eastAsia" w:ascii="仿宋" w:hAnsi="仿宋" w:eastAsia="仿宋" w:cs="仿宋"/>
          <w:sz w:val="28"/>
          <w:szCs w:val="28"/>
          <w:highlight w:val="none"/>
          <w:lang w:val="en-US" w:eastAsia="zh-CN"/>
        </w:rPr>
      </w:pPr>
      <w:r>
        <w:rPr>
          <w:rFonts w:hint="eastAsia" w:ascii="仿宋" w:hAnsi="仿宋" w:eastAsia="仿宋" w:cs="仿宋"/>
          <w:b w:val="0"/>
          <w:bCs w:val="0"/>
          <w:sz w:val="28"/>
          <w:szCs w:val="28"/>
          <w:highlight w:val="none"/>
          <w:lang w:val="en-US" w:eastAsia="zh-CN"/>
        </w:rPr>
        <w:t>4.协助采购人做好第三方水样的采集、配送工作的监督检查。</w:t>
      </w:r>
    </w:p>
    <w:p>
      <w:pPr>
        <w:pageBreakBefore w:val="0"/>
        <w:kinsoku/>
        <w:wordWrap/>
        <w:overflowPunct/>
        <w:topLinePunct w:val="0"/>
        <w:autoSpaceDE/>
        <w:autoSpaceDN/>
        <w:bidi w:val="0"/>
        <w:adjustRightInd w:val="0"/>
        <w:snapToGrid w:val="0"/>
        <w:spacing w:before="0" w:line="500" w:lineRule="exact"/>
        <w:ind w:right="0" w:firstLine="480"/>
        <w:jc w:val="lef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五</w:t>
      </w:r>
      <w:r>
        <w:rPr>
          <w:rFonts w:hint="eastAsia" w:ascii="仿宋" w:hAnsi="仿宋" w:eastAsia="仿宋" w:cs="仿宋"/>
          <w:b/>
          <w:bCs/>
          <w:sz w:val="28"/>
          <w:szCs w:val="28"/>
          <w:highlight w:val="none"/>
          <w:lang w:val="en-US" w:eastAsia="zh-CN"/>
        </w:rPr>
        <w:t>、</w:t>
      </w:r>
      <w:r>
        <w:rPr>
          <w:rFonts w:hint="eastAsia" w:ascii="仿宋" w:hAnsi="仿宋" w:eastAsia="仿宋" w:cs="仿宋"/>
          <w:b/>
          <w:bCs/>
          <w:sz w:val="28"/>
          <w:szCs w:val="28"/>
          <w:highlight w:val="none"/>
        </w:rPr>
        <w:t>项目要求</w:t>
      </w:r>
    </w:p>
    <w:p>
      <w:pPr>
        <w:pageBreakBefore w:val="0"/>
        <w:kinsoku/>
        <w:wordWrap/>
        <w:overflowPunct/>
        <w:topLinePunct w:val="0"/>
        <w:autoSpaceDE/>
        <w:autoSpaceDN/>
        <w:bidi w:val="0"/>
        <w:adjustRightInd w:val="0"/>
        <w:snapToGrid w:val="0"/>
        <w:spacing w:line="500" w:lineRule="exact"/>
        <w:jc w:val="left"/>
        <w:textAlignment w:val="auto"/>
        <w:rPr>
          <w:rFonts w:hint="eastAsia" w:ascii="仿宋" w:hAnsi="仿宋" w:eastAsia="仿宋" w:cs="仿宋"/>
          <w:b w:val="0"/>
          <w:sz w:val="28"/>
          <w:szCs w:val="28"/>
          <w:highlight w:val="none"/>
        </w:rPr>
      </w:pPr>
      <w:r>
        <w:rPr>
          <w:rFonts w:hint="eastAsia" w:ascii="仿宋" w:hAnsi="仿宋" w:eastAsia="仿宋" w:cs="仿宋"/>
          <w:b w:val="0"/>
          <w:sz w:val="28"/>
          <w:szCs w:val="28"/>
          <w:highlight w:val="none"/>
        </w:rPr>
        <w:t>（一）管理标准及目标：</w:t>
      </w:r>
    </w:p>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运营管理方案：要求详细描述污水处理站的运营及维修保养各项计划；污水处理站人员配置计划；污水站质量控制和质量保证措施以及各种规章制度；运行记录保存和报告；安全和防护制度及应急计划；污泥处理计划；异味处理计划等。</w:t>
      </w:r>
    </w:p>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2.成交供应商在本项目的管理过程中，必须遵守国家及地方有关法律、法规，成交后采购人不再因政策因素调整投标总价，变动的价格均由成交供应商自行承担。</w:t>
      </w:r>
    </w:p>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3.采购人对成交供应商现场人员进行考核</w:t>
      </w:r>
      <w:r>
        <w:rPr>
          <w:rFonts w:hint="eastAsia" w:ascii="仿宋" w:hAnsi="仿宋" w:eastAsia="仿宋" w:cs="仿宋"/>
          <w:b w:val="0"/>
          <w:bCs w:val="0"/>
          <w:sz w:val="28"/>
          <w:szCs w:val="28"/>
          <w:highlight w:val="none"/>
          <w:lang w:val="en-US" w:eastAsia="zh-CN"/>
        </w:rPr>
        <w:t>（考核表详见附件3）</w:t>
      </w:r>
      <w:r>
        <w:rPr>
          <w:rFonts w:hint="eastAsia" w:ascii="仿宋" w:hAnsi="仿宋" w:eastAsia="仿宋" w:cs="仿宋"/>
          <w:b w:val="0"/>
          <w:bCs w:val="0"/>
          <w:sz w:val="28"/>
          <w:szCs w:val="28"/>
          <w:highlight w:val="none"/>
          <w:lang w:val="en-US" w:eastAsia="zh-CN"/>
        </w:rPr>
        <w:t>，若现场人员不服从采购人管理要求的，则扣罚相应的服务费，若出现一次此类现象则在当月服务费中扣罚500元。</w:t>
      </w:r>
    </w:p>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4.采购人有权对成交供应商提供的运营管理服务进行监督检查，有权对不符合安全生产和环境要求的行为或设施提出撤销和要求成交供应商进行对应的整改。</w:t>
      </w:r>
    </w:p>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5.污水的各项污染物排放指标应达到《医疗机构水污染物排放标准》(GB18466-2005)中《综合医疗机构和其他医疗机构水污染物排放限值（日均值）》的预处理标准。</w:t>
      </w:r>
    </w:p>
    <w:tbl>
      <w:tblPr>
        <w:tblStyle w:val="12"/>
        <w:tblW w:w="10217" w:type="dxa"/>
        <w:tblInd w:w="0" w:type="dxa"/>
        <w:tblLayout w:type="fixed"/>
        <w:tblCellMar>
          <w:top w:w="0" w:type="dxa"/>
          <w:left w:w="0" w:type="dxa"/>
          <w:bottom w:w="0" w:type="dxa"/>
          <w:right w:w="0" w:type="dxa"/>
        </w:tblCellMar>
      </w:tblPr>
      <w:tblGrid>
        <w:gridCol w:w="862"/>
        <w:gridCol w:w="5136"/>
        <w:gridCol w:w="4219"/>
      </w:tblGrid>
      <w:tr>
        <w:tblPrEx>
          <w:tblCellMar>
            <w:top w:w="0" w:type="dxa"/>
            <w:left w:w="0" w:type="dxa"/>
            <w:bottom w:w="0" w:type="dxa"/>
            <w:right w:w="0" w:type="dxa"/>
          </w:tblCellMar>
        </w:tblPrEx>
        <w:trPr>
          <w:trHeight w:val="340"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序号</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污染物名称</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预处理标准</w:t>
            </w:r>
          </w:p>
        </w:tc>
      </w:tr>
      <w:tr>
        <w:tblPrEx>
          <w:tblCellMar>
            <w:top w:w="0" w:type="dxa"/>
            <w:left w:w="0" w:type="dxa"/>
            <w:bottom w:w="0" w:type="dxa"/>
            <w:right w:w="0" w:type="dxa"/>
          </w:tblCellMar>
        </w:tblPrEx>
        <w:trPr>
          <w:trHeight w:val="340"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粪大肠菌群数（MPN/L）</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5000</w:t>
            </w:r>
          </w:p>
        </w:tc>
      </w:tr>
      <w:tr>
        <w:tblPrEx>
          <w:tblCellMar>
            <w:top w:w="0" w:type="dxa"/>
            <w:left w:w="0" w:type="dxa"/>
            <w:bottom w:w="0" w:type="dxa"/>
            <w:right w:w="0" w:type="dxa"/>
          </w:tblCellMar>
        </w:tblPrEx>
        <w:trPr>
          <w:trHeight w:val="340"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肠道致病菌</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不得检出</w:t>
            </w:r>
          </w:p>
        </w:tc>
      </w:tr>
      <w:tr>
        <w:tblPrEx>
          <w:tblCellMar>
            <w:top w:w="0" w:type="dxa"/>
            <w:left w:w="0" w:type="dxa"/>
            <w:bottom w:w="0" w:type="dxa"/>
            <w:right w:w="0" w:type="dxa"/>
          </w:tblCellMar>
        </w:tblPrEx>
        <w:trPr>
          <w:trHeight w:val="340"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3</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肠道病毒</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不得检出</w:t>
            </w:r>
          </w:p>
        </w:tc>
      </w:tr>
      <w:tr>
        <w:tblPrEx>
          <w:tblCellMar>
            <w:top w:w="0" w:type="dxa"/>
            <w:left w:w="0" w:type="dxa"/>
            <w:bottom w:w="0" w:type="dxa"/>
            <w:right w:w="0" w:type="dxa"/>
          </w:tblCellMar>
        </w:tblPrEx>
        <w:trPr>
          <w:trHeight w:val="340" w:hRule="atLeast"/>
        </w:trPr>
        <w:tc>
          <w:tcPr>
            <w:tcW w:w="862"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4</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ph</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6-9</w:t>
            </w:r>
          </w:p>
        </w:tc>
      </w:tr>
      <w:tr>
        <w:tblPrEx>
          <w:tblCellMar>
            <w:top w:w="0" w:type="dxa"/>
            <w:left w:w="0" w:type="dxa"/>
            <w:bottom w:w="0" w:type="dxa"/>
            <w:right w:w="0" w:type="dxa"/>
          </w:tblCellMar>
        </w:tblPrEx>
        <w:trPr>
          <w:trHeight w:val="340" w:hRule="atLeast"/>
        </w:trPr>
        <w:tc>
          <w:tcPr>
            <w:tcW w:w="862" w:type="dxa"/>
            <w:vMerge w:val="restart"/>
            <w:tcBorders>
              <w:top w:val="single" w:color="000000" w:sz="4" w:space="0"/>
              <w:left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5</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化学需氧量（COD）</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60</w:t>
            </w:r>
          </w:p>
        </w:tc>
      </w:tr>
      <w:tr>
        <w:tblPrEx>
          <w:tblCellMar>
            <w:top w:w="0" w:type="dxa"/>
            <w:left w:w="0" w:type="dxa"/>
            <w:bottom w:w="0" w:type="dxa"/>
            <w:right w:w="0" w:type="dxa"/>
          </w:tblCellMar>
        </w:tblPrEx>
        <w:trPr>
          <w:trHeight w:val="340" w:hRule="atLeast"/>
        </w:trPr>
        <w:tc>
          <w:tcPr>
            <w:tcW w:w="862" w:type="dxa"/>
            <w:vMerge w:val="continue"/>
            <w:tcBorders>
              <w:left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center"/>
              <w:textAlignment w:val="auto"/>
              <w:rPr>
                <w:rFonts w:hint="eastAsia" w:ascii="仿宋" w:hAnsi="仿宋" w:eastAsia="仿宋" w:cs="仿宋"/>
                <w:b w:val="0"/>
                <w:bCs w:val="0"/>
                <w:sz w:val="28"/>
                <w:szCs w:val="28"/>
                <w:highlight w:val="none"/>
                <w:lang w:val="en-US" w:eastAsia="zh-CN"/>
              </w:rPr>
            </w:pP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浓度（mg/L）</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250</w:t>
            </w:r>
          </w:p>
        </w:tc>
      </w:tr>
      <w:tr>
        <w:tblPrEx>
          <w:tblCellMar>
            <w:top w:w="0" w:type="dxa"/>
            <w:left w:w="0" w:type="dxa"/>
            <w:bottom w:w="0" w:type="dxa"/>
            <w:right w:w="0" w:type="dxa"/>
          </w:tblCellMar>
        </w:tblPrEx>
        <w:trPr>
          <w:trHeight w:val="340" w:hRule="atLeast"/>
        </w:trPr>
        <w:tc>
          <w:tcPr>
            <w:tcW w:w="862" w:type="dxa"/>
            <w:vMerge w:val="continue"/>
            <w:tcBorders>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center"/>
              <w:textAlignment w:val="auto"/>
              <w:rPr>
                <w:rFonts w:hint="eastAsia" w:ascii="仿宋" w:hAnsi="仿宋" w:eastAsia="仿宋" w:cs="仿宋"/>
                <w:b w:val="0"/>
                <w:bCs w:val="0"/>
                <w:sz w:val="28"/>
                <w:szCs w:val="28"/>
                <w:highlight w:val="none"/>
                <w:lang w:val="en-US" w:eastAsia="zh-CN"/>
              </w:rPr>
            </w:pP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最高允许排放负荷（g/床位）</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250</w:t>
            </w:r>
          </w:p>
        </w:tc>
      </w:tr>
      <w:tr>
        <w:tblPrEx>
          <w:tblCellMar>
            <w:top w:w="0" w:type="dxa"/>
            <w:left w:w="0" w:type="dxa"/>
            <w:bottom w:w="0" w:type="dxa"/>
            <w:right w:w="0" w:type="dxa"/>
          </w:tblCellMar>
        </w:tblPrEx>
        <w:trPr>
          <w:trHeight w:val="340" w:hRule="atLeast"/>
        </w:trPr>
        <w:tc>
          <w:tcPr>
            <w:tcW w:w="862" w:type="dxa"/>
            <w:vMerge w:val="restart"/>
            <w:tcBorders>
              <w:left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6</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生化需氧量（BOD）</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20</w:t>
            </w:r>
          </w:p>
        </w:tc>
      </w:tr>
      <w:tr>
        <w:tblPrEx>
          <w:tblCellMar>
            <w:top w:w="0" w:type="dxa"/>
            <w:left w:w="0" w:type="dxa"/>
            <w:bottom w:w="0" w:type="dxa"/>
            <w:right w:w="0" w:type="dxa"/>
          </w:tblCellMar>
        </w:tblPrEx>
        <w:trPr>
          <w:trHeight w:val="340" w:hRule="atLeast"/>
        </w:trPr>
        <w:tc>
          <w:tcPr>
            <w:tcW w:w="862" w:type="dxa"/>
            <w:vMerge w:val="continue"/>
            <w:tcBorders>
              <w:left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center"/>
              <w:textAlignment w:val="auto"/>
              <w:rPr>
                <w:rFonts w:hint="eastAsia" w:ascii="仿宋" w:hAnsi="仿宋" w:eastAsia="仿宋" w:cs="仿宋"/>
                <w:b w:val="0"/>
                <w:bCs w:val="0"/>
                <w:sz w:val="28"/>
                <w:szCs w:val="28"/>
                <w:highlight w:val="none"/>
                <w:lang w:val="en-US" w:eastAsia="zh-CN"/>
              </w:rPr>
            </w:pP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浓度（mg/L）</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100</w:t>
            </w:r>
          </w:p>
        </w:tc>
      </w:tr>
      <w:tr>
        <w:tblPrEx>
          <w:tblCellMar>
            <w:top w:w="0" w:type="dxa"/>
            <w:left w:w="0" w:type="dxa"/>
            <w:bottom w:w="0" w:type="dxa"/>
            <w:right w:w="0" w:type="dxa"/>
          </w:tblCellMar>
        </w:tblPrEx>
        <w:trPr>
          <w:trHeight w:val="340" w:hRule="atLeast"/>
        </w:trPr>
        <w:tc>
          <w:tcPr>
            <w:tcW w:w="862" w:type="dxa"/>
            <w:vMerge w:val="continue"/>
            <w:tcBorders>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center"/>
              <w:textAlignment w:val="auto"/>
              <w:rPr>
                <w:rFonts w:hint="eastAsia" w:ascii="仿宋" w:hAnsi="仿宋" w:eastAsia="仿宋" w:cs="仿宋"/>
                <w:b w:val="0"/>
                <w:bCs w:val="0"/>
                <w:sz w:val="28"/>
                <w:szCs w:val="28"/>
                <w:highlight w:val="none"/>
                <w:lang w:val="en-US" w:eastAsia="zh-CN"/>
              </w:rPr>
            </w:pP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最高允许排放负荷（g/床位）</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100</w:t>
            </w:r>
          </w:p>
        </w:tc>
      </w:tr>
      <w:tr>
        <w:tblPrEx>
          <w:tblCellMar>
            <w:top w:w="0" w:type="dxa"/>
            <w:left w:w="0" w:type="dxa"/>
            <w:bottom w:w="0" w:type="dxa"/>
            <w:right w:w="0" w:type="dxa"/>
          </w:tblCellMar>
        </w:tblPrEx>
        <w:trPr>
          <w:trHeight w:val="340" w:hRule="atLeast"/>
        </w:trPr>
        <w:tc>
          <w:tcPr>
            <w:tcW w:w="862" w:type="dxa"/>
            <w:vMerge w:val="restart"/>
            <w:tcBorders>
              <w:top w:val="single" w:color="auto" w:sz="4" w:space="0"/>
              <w:left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7</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悬浮物（SS）</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20</w:t>
            </w:r>
          </w:p>
        </w:tc>
      </w:tr>
      <w:tr>
        <w:tblPrEx>
          <w:tblCellMar>
            <w:top w:w="0" w:type="dxa"/>
            <w:left w:w="0" w:type="dxa"/>
            <w:bottom w:w="0" w:type="dxa"/>
            <w:right w:w="0" w:type="dxa"/>
          </w:tblCellMar>
        </w:tblPrEx>
        <w:trPr>
          <w:trHeight w:val="340" w:hRule="atLeast"/>
        </w:trPr>
        <w:tc>
          <w:tcPr>
            <w:tcW w:w="862" w:type="dxa"/>
            <w:vMerge w:val="continue"/>
            <w:tcBorders>
              <w:left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center"/>
              <w:textAlignment w:val="auto"/>
              <w:rPr>
                <w:rFonts w:hint="eastAsia" w:ascii="仿宋" w:hAnsi="仿宋" w:eastAsia="仿宋" w:cs="仿宋"/>
                <w:b w:val="0"/>
                <w:bCs w:val="0"/>
                <w:sz w:val="28"/>
                <w:szCs w:val="28"/>
                <w:highlight w:val="none"/>
                <w:lang w:val="en-US" w:eastAsia="zh-CN"/>
              </w:rPr>
            </w:pP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浓度（mg/L）</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60</w:t>
            </w:r>
          </w:p>
        </w:tc>
      </w:tr>
      <w:tr>
        <w:tblPrEx>
          <w:tblCellMar>
            <w:top w:w="0" w:type="dxa"/>
            <w:left w:w="0" w:type="dxa"/>
            <w:bottom w:w="0" w:type="dxa"/>
            <w:right w:w="0" w:type="dxa"/>
          </w:tblCellMar>
        </w:tblPrEx>
        <w:trPr>
          <w:trHeight w:val="340" w:hRule="atLeast"/>
        </w:trPr>
        <w:tc>
          <w:tcPr>
            <w:tcW w:w="862" w:type="dxa"/>
            <w:vMerge w:val="continue"/>
            <w:tcBorders>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center"/>
              <w:textAlignment w:val="auto"/>
              <w:rPr>
                <w:rFonts w:hint="eastAsia" w:ascii="仿宋" w:hAnsi="仿宋" w:eastAsia="仿宋" w:cs="仿宋"/>
                <w:b w:val="0"/>
                <w:bCs w:val="0"/>
                <w:sz w:val="28"/>
                <w:szCs w:val="28"/>
                <w:highlight w:val="none"/>
                <w:lang w:val="en-US" w:eastAsia="zh-CN"/>
              </w:rPr>
            </w:pP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最高允许排放负荷（g/床位）</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60</w:t>
            </w:r>
          </w:p>
        </w:tc>
      </w:tr>
      <w:tr>
        <w:tblPrEx>
          <w:tblCellMar>
            <w:top w:w="0" w:type="dxa"/>
            <w:left w:w="0" w:type="dxa"/>
            <w:bottom w:w="0" w:type="dxa"/>
            <w:right w:w="0" w:type="dxa"/>
          </w:tblCellMar>
        </w:tblPrEx>
        <w:trPr>
          <w:trHeight w:val="340" w:hRule="atLeast"/>
        </w:trPr>
        <w:tc>
          <w:tcPr>
            <w:tcW w:w="862"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8</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氨氮（mg/L）</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w:t>
            </w:r>
          </w:p>
        </w:tc>
      </w:tr>
      <w:tr>
        <w:tblPrEx>
          <w:tblCellMar>
            <w:top w:w="0" w:type="dxa"/>
            <w:left w:w="0" w:type="dxa"/>
            <w:bottom w:w="0" w:type="dxa"/>
            <w:right w:w="0" w:type="dxa"/>
          </w:tblCellMar>
        </w:tblPrEx>
        <w:trPr>
          <w:trHeight w:val="723" w:hRule="atLeast"/>
        </w:trPr>
        <w:tc>
          <w:tcPr>
            <w:tcW w:w="862"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9</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动植物油（mg/L）</w:t>
            </w:r>
          </w:p>
        </w:tc>
        <w:tc>
          <w:tcPr>
            <w:tcW w:w="4219" w:type="dxa"/>
            <w:tcBorders>
              <w:top w:val="single" w:color="000000" w:sz="4" w:space="0"/>
              <w:left w:val="single" w:color="000000" w:sz="4" w:space="0"/>
              <w:bottom w:val="single" w:color="000000" w:sz="4" w:space="0"/>
              <w:right w:val="single" w:color="000000" w:sz="4" w:space="0"/>
            </w:tcBorders>
            <w:noWrap w:val="0"/>
            <w:vAlign w:val="top"/>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20</w:t>
            </w:r>
          </w:p>
        </w:tc>
      </w:tr>
      <w:tr>
        <w:tblPrEx>
          <w:tblCellMar>
            <w:top w:w="0" w:type="dxa"/>
            <w:left w:w="0" w:type="dxa"/>
            <w:bottom w:w="0" w:type="dxa"/>
            <w:right w:w="0" w:type="dxa"/>
          </w:tblCellMar>
        </w:tblPrEx>
        <w:trPr>
          <w:trHeight w:val="340" w:hRule="atLeast"/>
        </w:trPr>
        <w:tc>
          <w:tcPr>
            <w:tcW w:w="862"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10</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石油类（mg/L）</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20</w:t>
            </w:r>
          </w:p>
        </w:tc>
      </w:tr>
      <w:tr>
        <w:tblPrEx>
          <w:tblCellMar>
            <w:top w:w="0" w:type="dxa"/>
            <w:left w:w="0" w:type="dxa"/>
            <w:bottom w:w="0" w:type="dxa"/>
            <w:right w:w="0" w:type="dxa"/>
          </w:tblCellMar>
        </w:tblPrEx>
        <w:trPr>
          <w:trHeight w:val="340" w:hRule="atLeast"/>
        </w:trPr>
        <w:tc>
          <w:tcPr>
            <w:tcW w:w="862"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11</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阴离子表面活性剂（mg/L）</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10</w:t>
            </w:r>
          </w:p>
        </w:tc>
      </w:tr>
      <w:tr>
        <w:tblPrEx>
          <w:tblCellMar>
            <w:top w:w="0" w:type="dxa"/>
            <w:left w:w="0" w:type="dxa"/>
            <w:bottom w:w="0" w:type="dxa"/>
            <w:right w:w="0" w:type="dxa"/>
          </w:tblCellMar>
        </w:tblPrEx>
        <w:trPr>
          <w:trHeight w:val="340" w:hRule="atLeast"/>
        </w:trPr>
        <w:tc>
          <w:tcPr>
            <w:tcW w:w="862"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12</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色度（稀释倍数）</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w:t>
            </w:r>
          </w:p>
        </w:tc>
      </w:tr>
      <w:tr>
        <w:tblPrEx>
          <w:tblCellMar>
            <w:top w:w="0" w:type="dxa"/>
            <w:left w:w="0" w:type="dxa"/>
            <w:bottom w:w="0" w:type="dxa"/>
            <w:right w:w="0" w:type="dxa"/>
          </w:tblCellMar>
        </w:tblPrEx>
        <w:trPr>
          <w:trHeight w:val="340" w:hRule="atLeast"/>
        </w:trPr>
        <w:tc>
          <w:tcPr>
            <w:tcW w:w="862"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13</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挥发酚（mg/L）</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w:t>
            </w:r>
          </w:p>
        </w:tc>
      </w:tr>
      <w:tr>
        <w:tblPrEx>
          <w:tblCellMar>
            <w:top w:w="0" w:type="dxa"/>
            <w:left w:w="0" w:type="dxa"/>
            <w:bottom w:w="0" w:type="dxa"/>
            <w:right w:w="0" w:type="dxa"/>
          </w:tblCellMar>
        </w:tblPrEx>
        <w:trPr>
          <w:trHeight w:val="340" w:hRule="atLeast"/>
        </w:trPr>
        <w:tc>
          <w:tcPr>
            <w:tcW w:w="862"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14</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总氰化物（mg/L）</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0.5</w:t>
            </w:r>
          </w:p>
        </w:tc>
      </w:tr>
      <w:tr>
        <w:tblPrEx>
          <w:tblCellMar>
            <w:top w:w="0" w:type="dxa"/>
            <w:left w:w="0" w:type="dxa"/>
            <w:bottom w:w="0" w:type="dxa"/>
            <w:right w:w="0" w:type="dxa"/>
          </w:tblCellMar>
        </w:tblPrEx>
        <w:trPr>
          <w:trHeight w:val="340" w:hRule="atLeast"/>
        </w:trPr>
        <w:tc>
          <w:tcPr>
            <w:tcW w:w="862"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15</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总汞（mg/L）</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0.05</w:t>
            </w:r>
          </w:p>
        </w:tc>
      </w:tr>
      <w:tr>
        <w:tblPrEx>
          <w:tblCellMar>
            <w:top w:w="0" w:type="dxa"/>
            <w:left w:w="0" w:type="dxa"/>
            <w:bottom w:w="0" w:type="dxa"/>
            <w:right w:w="0" w:type="dxa"/>
          </w:tblCellMar>
        </w:tblPrEx>
        <w:trPr>
          <w:trHeight w:val="340" w:hRule="atLeast"/>
        </w:trPr>
        <w:tc>
          <w:tcPr>
            <w:tcW w:w="862"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16</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总镉（mg/L）</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0.1</w:t>
            </w:r>
          </w:p>
        </w:tc>
      </w:tr>
      <w:tr>
        <w:tblPrEx>
          <w:tblCellMar>
            <w:top w:w="0" w:type="dxa"/>
            <w:left w:w="0" w:type="dxa"/>
            <w:bottom w:w="0" w:type="dxa"/>
            <w:right w:w="0" w:type="dxa"/>
          </w:tblCellMar>
        </w:tblPrEx>
        <w:trPr>
          <w:trHeight w:val="340" w:hRule="atLeast"/>
        </w:trPr>
        <w:tc>
          <w:tcPr>
            <w:tcW w:w="862"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17</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总铬（mg/L）</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1.5</w:t>
            </w:r>
          </w:p>
        </w:tc>
      </w:tr>
      <w:tr>
        <w:tblPrEx>
          <w:tblCellMar>
            <w:top w:w="0" w:type="dxa"/>
            <w:left w:w="0" w:type="dxa"/>
            <w:bottom w:w="0" w:type="dxa"/>
            <w:right w:w="0" w:type="dxa"/>
          </w:tblCellMar>
        </w:tblPrEx>
        <w:trPr>
          <w:trHeight w:val="340" w:hRule="atLeast"/>
        </w:trPr>
        <w:tc>
          <w:tcPr>
            <w:tcW w:w="862"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18</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六价铬（mg/L）</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0.5</w:t>
            </w:r>
          </w:p>
        </w:tc>
      </w:tr>
      <w:tr>
        <w:tblPrEx>
          <w:tblCellMar>
            <w:top w:w="0" w:type="dxa"/>
            <w:left w:w="0" w:type="dxa"/>
            <w:bottom w:w="0" w:type="dxa"/>
            <w:right w:w="0" w:type="dxa"/>
          </w:tblCellMar>
        </w:tblPrEx>
        <w:trPr>
          <w:trHeight w:val="340" w:hRule="atLeast"/>
        </w:trPr>
        <w:tc>
          <w:tcPr>
            <w:tcW w:w="862"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19</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总砷（mg/L）</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0.5</w:t>
            </w:r>
          </w:p>
        </w:tc>
      </w:tr>
      <w:tr>
        <w:tblPrEx>
          <w:tblCellMar>
            <w:top w:w="0" w:type="dxa"/>
            <w:left w:w="0" w:type="dxa"/>
            <w:bottom w:w="0" w:type="dxa"/>
            <w:right w:w="0" w:type="dxa"/>
          </w:tblCellMar>
        </w:tblPrEx>
        <w:trPr>
          <w:trHeight w:val="340" w:hRule="atLeast"/>
        </w:trPr>
        <w:tc>
          <w:tcPr>
            <w:tcW w:w="862"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20</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总铅（mg/L）</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w:t>
            </w:r>
          </w:p>
        </w:tc>
      </w:tr>
      <w:tr>
        <w:tblPrEx>
          <w:tblCellMar>
            <w:top w:w="0" w:type="dxa"/>
            <w:left w:w="0" w:type="dxa"/>
            <w:bottom w:w="0" w:type="dxa"/>
            <w:right w:w="0" w:type="dxa"/>
          </w:tblCellMar>
        </w:tblPrEx>
        <w:trPr>
          <w:trHeight w:val="340" w:hRule="atLeast"/>
        </w:trPr>
        <w:tc>
          <w:tcPr>
            <w:tcW w:w="862"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default"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21</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总银（mg/L）</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0.5</w:t>
            </w:r>
          </w:p>
        </w:tc>
      </w:tr>
      <w:tr>
        <w:tblPrEx>
          <w:tblCellMar>
            <w:top w:w="0" w:type="dxa"/>
            <w:left w:w="0" w:type="dxa"/>
            <w:bottom w:w="0" w:type="dxa"/>
            <w:right w:w="0" w:type="dxa"/>
          </w:tblCellMar>
        </w:tblPrEx>
        <w:trPr>
          <w:trHeight w:val="340" w:hRule="atLeast"/>
        </w:trPr>
        <w:tc>
          <w:tcPr>
            <w:tcW w:w="862"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22</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总α（Bq/L）</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w:t>
            </w:r>
          </w:p>
        </w:tc>
      </w:tr>
      <w:tr>
        <w:tblPrEx>
          <w:tblCellMar>
            <w:top w:w="0" w:type="dxa"/>
            <w:left w:w="0" w:type="dxa"/>
            <w:bottom w:w="0" w:type="dxa"/>
            <w:right w:w="0" w:type="dxa"/>
          </w:tblCellMar>
        </w:tblPrEx>
        <w:trPr>
          <w:trHeight w:val="340" w:hRule="atLeast"/>
        </w:trPr>
        <w:tc>
          <w:tcPr>
            <w:tcW w:w="862"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23</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总β（Bq/L）</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10</w:t>
            </w:r>
          </w:p>
        </w:tc>
      </w:tr>
      <w:tr>
        <w:tblPrEx>
          <w:tblCellMar>
            <w:top w:w="0" w:type="dxa"/>
            <w:left w:w="0" w:type="dxa"/>
            <w:bottom w:w="0" w:type="dxa"/>
            <w:right w:w="0" w:type="dxa"/>
          </w:tblCellMar>
        </w:tblPrEx>
        <w:trPr>
          <w:trHeight w:val="340" w:hRule="atLeast"/>
        </w:trPr>
        <w:tc>
          <w:tcPr>
            <w:tcW w:w="862" w:type="dxa"/>
            <w:tcBorders>
              <w:top w:val="single" w:color="auto" w:sz="4" w:space="0"/>
              <w:left w:val="single" w:color="000000" w:sz="4" w:space="0"/>
              <w:bottom w:val="single" w:color="auto"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left="0" w:leftChars="0" w:right="0" w:firstLine="0" w:firstLineChars="0"/>
              <w:jc w:val="center"/>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24</w:t>
            </w:r>
          </w:p>
        </w:tc>
        <w:tc>
          <w:tcPr>
            <w:tcW w:w="5136"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总余氯（mg/L）</w:t>
            </w:r>
          </w:p>
        </w:tc>
        <w:tc>
          <w:tcPr>
            <w:tcW w:w="4219" w:type="dxa"/>
            <w:tcBorders>
              <w:top w:val="single" w:color="000000"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w:t>
            </w:r>
          </w:p>
        </w:tc>
      </w:tr>
      <w:tr>
        <w:tblPrEx>
          <w:tblCellMar>
            <w:top w:w="0" w:type="dxa"/>
            <w:left w:w="0" w:type="dxa"/>
            <w:bottom w:w="0" w:type="dxa"/>
            <w:right w:w="0" w:type="dxa"/>
          </w:tblCellMar>
        </w:tblPrEx>
        <w:trPr>
          <w:trHeight w:val="340" w:hRule="atLeast"/>
        </w:trPr>
        <w:tc>
          <w:tcPr>
            <w:tcW w:w="10217" w:type="dxa"/>
            <w:gridSpan w:val="3"/>
            <w:tcBorders>
              <w:top w:val="single" w:color="auto" w:sz="4" w:space="0"/>
              <w:left w:val="single" w:color="000000" w:sz="4" w:space="0"/>
              <w:bottom w:val="single" w:color="000000" w:sz="4" w:space="0"/>
              <w:right w:val="single" w:color="000000" w:sz="4" w:space="0"/>
            </w:tcBorders>
            <w:noWrap w:val="0"/>
            <w:vAlign w:val="center"/>
          </w:tcPr>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注：1)采用含氯消毒剂消毒的工艺控制要求为：</w:t>
            </w:r>
          </w:p>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预处理标准：消毒接触池接触时间≥1h，接触池出口总余氯2-8mg/L。</w:t>
            </w:r>
          </w:p>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2)采用其他消毒剂对总余氯不做要求。</w:t>
            </w:r>
          </w:p>
        </w:tc>
      </w:tr>
    </w:tbl>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6.保证出水排放及出水水质符合国家标准和地方及行业行政管理部门的相关环保要求，保障污水处理设备运行正常，保持污水站周围环境卫生清洁。</w:t>
      </w:r>
    </w:p>
    <w:p>
      <w:pPr>
        <w:pageBreakBefore w:val="0"/>
        <w:kinsoku/>
        <w:wordWrap/>
        <w:overflowPunct/>
        <w:topLinePunct w:val="0"/>
        <w:autoSpaceDE/>
        <w:autoSpaceDN/>
        <w:bidi w:val="0"/>
        <w:adjustRightInd w:val="0"/>
        <w:snapToGrid w:val="0"/>
        <w:spacing w:before="0" w:line="500" w:lineRule="exact"/>
        <w:ind w:right="0"/>
        <w:jc w:val="left"/>
        <w:textAlignment w:val="auto"/>
        <w:rPr>
          <w:rFonts w:hint="eastAsia" w:ascii="仿宋" w:hAnsi="仿宋" w:eastAsia="仿宋" w:cs="仿宋"/>
          <w:b w:val="0"/>
          <w:bCs w:val="0"/>
          <w:sz w:val="28"/>
          <w:szCs w:val="28"/>
          <w:highlight w:val="none"/>
          <w:lang w:val="en-US" w:eastAsia="zh-CN"/>
        </w:rPr>
      </w:pPr>
      <w:r>
        <w:rPr>
          <w:rFonts w:hint="eastAsia" w:ascii="仿宋" w:hAnsi="仿宋" w:eastAsia="仿宋" w:cs="仿宋"/>
          <w:b w:val="0"/>
          <w:bCs w:val="0"/>
          <w:sz w:val="28"/>
          <w:szCs w:val="28"/>
          <w:highlight w:val="none"/>
          <w:lang w:val="en-US" w:eastAsia="zh-CN"/>
        </w:rPr>
        <w:t>7.严格按照污水处理管理程序每天认真组织投放定量药物，确保污水处理合格率100%。如因成交供应商操作、维护、保养或投药不足等管理不当致使污水检验不合格受环保部门的所发生的一切处罚，责任由成交供应商承担。若因成交供应商操作、维护、保养或投药不足等管理不当所发生的上级管理部门的通报或批评，每发生一次扣罚1000元,如有额外处罚金额，由成交供应商承担。</w:t>
      </w:r>
    </w:p>
    <w:p>
      <w:pPr>
        <w:pageBreakBefore w:val="0"/>
        <w:kinsoku/>
        <w:wordWrap/>
        <w:overflowPunct/>
        <w:topLinePunct w:val="0"/>
        <w:autoSpaceDE/>
        <w:autoSpaceDN/>
        <w:bidi w:val="0"/>
        <w:adjustRightInd w:val="0"/>
        <w:snapToGrid w:val="0"/>
        <w:spacing w:line="500" w:lineRule="exact"/>
        <w:jc w:val="both"/>
        <w:textAlignment w:val="auto"/>
        <w:rPr>
          <w:rFonts w:hint="eastAsia" w:ascii="仿宋" w:hAnsi="仿宋" w:eastAsia="仿宋" w:cs="仿宋"/>
          <w:b/>
          <w:sz w:val="28"/>
          <w:szCs w:val="28"/>
          <w:highlight w:val="none"/>
        </w:rPr>
      </w:pPr>
      <w:r>
        <w:rPr>
          <w:rFonts w:hint="eastAsia" w:ascii="仿宋" w:hAnsi="仿宋" w:eastAsia="仿宋" w:cs="仿宋"/>
          <w:b w:val="0"/>
          <w:bCs/>
          <w:sz w:val="28"/>
          <w:szCs w:val="28"/>
          <w:highlight w:val="none"/>
        </w:rPr>
        <w:t>（二）进水水质及排放标准</w:t>
      </w:r>
    </w:p>
    <w:p>
      <w:pPr>
        <w:pageBreakBefore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参考综合医疗机构同类污水水质参数，设计进水水质参数如下：</w:t>
      </w:r>
    </w:p>
    <w:p>
      <w:pPr>
        <w:pageBreakBefore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单位：mg(个)/L</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220"/>
        <w:gridCol w:w="1220"/>
        <w:gridCol w:w="1463"/>
        <w:gridCol w:w="1010"/>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86"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w:t>
            </w:r>
          </w:p>
        </w:tc>
        <w:tc>
          <w:tcPr>
            <w:tcW w:w="1220"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PH</w:t>
            </w:r>
          </w:p>
        </w:tc>
        <w:tc>
          <w:tcPr>
            <w:tcW w:w="1220"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COD</w:t>
            </w:r>
            <w:r>
              <w:rPr>
                <w:rFonts w:hint="eastAsia" w:ascii="仿宋" w:hAnsi="仿宋" w:eastAsia="仿宋" w:cs="仿宋"/>
                <w:sz w:val="28"/>
                <w:szCs w:val="28"/>
                <w:highlight w:val="none"/>
                <w:vertAlign w:val="subscript"/>
              </w:rPr>
              <w:t>CR</w:t>
            </w:r>
          </w:p>
        </w:tc>
        <w:tc>
          <w:tcPr>
            <w:tcW w:w="1463"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BOD</w:t>
            </w:r>
            <w:r>
              <w:rPr>
                <w:rFonts w:hint="eastAsia" w:ascii="仿宋" w:hAnsi="仿宋" w:eastAsia="仿宋" w:cs="仿宋"/>
                <w:sz w:val="28"/>
                <w:szCs w:val="28"/>
                <w:highlight w:val="none"/>
                <w:vertAlign w:val="subscript"/>
              </w:rPr>
              <w:t>5</w:t>
            </w:r>
          </w:p>
        </w:tc>
        <w:tc>
          <w:tcPr>
            <w:tcW w:w="1010"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SS</w:t>
            </w:r>
          </w:p>
        </w:tc>
        <w:tc>
          <w:tcPr>
            <w:tcW w:w="2527"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粪大肠杆菌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86"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浓度（mg/L）</w:t>
            </w:r>
          </w:p>
        </w:tc>
        <w:tc>
          <w:tcPr>
            <w:tcW w:w="1220"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6-9</w:t>
            </w:r>
          </w:p>
        </w:tc>
        <w:tc>
          <w:tcPr>
            <w:tcW w:w="1220"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≤300</w:t>
            </w:r>
          </w:p>
        </w:tc>
        <w:tc>
          <w:tcPr>
            <w:tcW w:w="1463"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≤150</w:t>
            </w:r>
          </w:p>
        </w:tc>
        <w:tc>
          <w:tcPr>
            <w:tcW w:w="1010"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≤120</w:t>
            </w:r>
          </w:p>
        </w:tc>
        <w:tc>
          <w:tcPr>
            <w:tcW w:w="2527"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≤3.0×100000000个/L</w:t>
            </w:r>
          </w:p>
        </w:tc>
      </w:tr>
    </w:tbl>
    <w:p>
      <w:pPr>
        <w:pageBreakBefore w:val="0"/>
        <w:kinsoku/>
        <w:wordWrap/>
        <w:overflowPunct/>
        <w:topLinePunct w:val="0"/>
        <w:autoSpaceDE/>
        <w:autoSpaceDN/>
        <w:bidi w:val="0"/>
        <w:adjustRightInd w:val="0"/>
        <w:snapToGrid w:val="0"/>
        <w:spacing w:line="500" w:lineRule="exact"/>
        <w:ind w:firstLine="560" w:firstLineChars="200"/>
        <w:jc w:val="both"/>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设计出水执行</w:t>
      </w:r>
      <w:r>
        <w:rPr>
          <w:rFonts w:hint="eastAsia" w:ascii="仿宋" w:hAnsi="仿宋" w:eastAsia="仿宋" w:cs="仿宋"/>
          <w:sz w:val="28"/>
          <w:szCs w:val="28"/>
          <w:highlight w:val="none"/>
        </w:rPr>
        <w:t>《医疗机构水污染物排放标准》（GB18466-2005）中《综合医疗机构和其他医疗机构水污染物排放限值（日均值）》的预处理标准。出水水质如下表：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6"/>
        <w:gridCol w:w="1220"/>
        <w:gridCol w:w="1220"/>
        <w:gridCol w:w="1463"/>
        <w:gridCol w:w="1010"/>
        <w:gridCol w:w="2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86"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项目</w:t>
            </w:r>
          </w:p>
        </w:tc>
        <w:tc>
          <w:tcPr>
            <w:tcW w:w="1220"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PH</w:t>
            </w:r>
          </w:p>
        </w:tc>
        <w:tc>
          <w:tcPr>
            <w:tcW w:w="1220"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COD</w:t>
            </w:r>
            <w:r>
              <w:rPr>
                <w:rFonts w:hint="eastAsia" w:ascii="仿宋" w:hAnsi="仿宋" w:eastAsia="仿宋" w:cs="仿宋"/>
                <w:sz w:val="28"/>
                <w:szCs w:val="28"/>
                <w:highlight w:val="none"/>
                <w:vertAlign w:val="subscript"/>
              </w:rPr>
              <w:t>CR</w:t>
            </w:r>
          </w:p>
        </w:tc>
        <w:tc>
          <w:tcPr>
            <w:tcW w:w="1463"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BOD</w:t>
            </w:r>
            <w:r>
              <w:rPr>
                <w:rFonts w:hint="eastAsia" w:ascii="仿宋" w:hAnsi="仿宋" w:eastAsia="仿宋" w:cs="仿宋"/>
                <w:sz w:val="28"/>
                <w:szCs w:val="28"/>
                <w:highlight w:val="none"/>
                <w:vertAlign w:val="subscript"/>
              </w:rPr>
              <w:t>5</w:t>
            </w:r>
          </w:p>
        </w:tc>
        <w:tc>
          <w:tcPr>
            <w:tcW w:w="1010"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SS</w:t>
            </w:r>
          </w:p>
        </w:tc>
        <w:tc>
          <w:tcPr>
            <w:tcW w:w="2527"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粪大肠杆菌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586"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浓度（mg/L）</w:t>
            </w:r>
          </w:p>
        </w:tc>
        <w:tc>
          <w:tcPr>
            <w:tcW w:w="1220"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center"/>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6-9</w:t>
            </w:r>
          </w:p>
        </w:tc>
        <w:tc>
          <w:tcPr>
            <w:tcW w:w="1220"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≤250</w:t>
            </w:r>
          </w:p>
        </w:tc>
        <w:tc>
          <w:tcPr>
            <w:tcW w:w="1463"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≤100</w:t>
            </w:r>
          </w:p>
        </w:tc>
        <w:tc>
          <w:tcPr>
            <w:tcW w:w="1010" w:type="dxa"/>
            <w:noWrap w:val="0"/>
            <w:vAlign w:val="center"/>
          </w:tcPr>
          <w:p>
            <w:pPr>
              <w:pageBreakBefore w:val="0"/>
              <w:kinsoku/>
              <w:wordWrap/>
              <w:overflowPunct/>
              <w:topLinePunct w:val="0"/>
              <w:autoSpaceDE/>
              <w:autoSpaceDN/>
              <w:bidi w:val="0"/>
              <w:adjustRightInd w:val="0"/>
              <w:snapToGrid w:val="0"/>
              <w:spacing w:line="500" w:lineRule="exact"/>
              <w:ind w:firstLine="0" w:firstLineChars="0"/>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≤60</w:t>
            </w:r>
          </w:p>
        </w:tc>
        <w:tc>
          <w:tcPr>
            <w:tcW w:w="2527" w:type="dxa"/>
            <w:noWrap w:val="0"/>
            <w:vAlign w:val="center"/>
          </w:tcPr>
          <w:p>
            <w:pPr>
              <w:pageBreakBefore w:val="0"/>
              <w:kinsoku/>
              <w:wordWrap/>
              <w:overflowPunct/>
              <w:topLinePunct w:val="0"/>
              <w:autoSpaceDE/>
              <w:autoSpaceDN/>
              <w:bidi w:val="0"/>
              <w:adjustRightInd w:val="0"/>
              <w:snapToGrid w:val="0"/>
              <w:spacing w:line="500" w:lineRule="exact"/>
              <w:jc w:val="left"/>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≤5000个/L</w:t>
            </w:r>
          </w:p>
        </w:tc>
      </w:tr>
    </w:tbl>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00" w:lineRule="exact"/>
        <w:ind w:left="0" w:leftChars="0" w:right="0" w:firstLine="0" w:firstLineChars="0"/>
        <w:jc w:val="left"/>
        <w:textAlignment w:val="auto"/>
        <w:rPr>
          <w:rFonts w:hint="eastAsia" w:ascii="宋体" w:hAnsi="宋体" w:eastAsia="宋体" w:cs="宋体"/>
          <w:sz w:val="32"/>
          <w:szCs w:val="32"/>
          <w:highlight w:val="none"/>
          <w:lang w:val="en-US" w:eastAsia="zh-CN"/>
        </w:rPr>
      </w:pP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00" w:lineRule="exact"/>
        <w:ind w:left="0" w:leftChars="0" w:right="0" w:firstLine="0" w:firstLineChars="0"/>
        <w:jc w:val="left"/>
        <w:textAlignment w:val="auto"/>
        <w:rPr>
          <w:rFonts w:hint="eastAsia" w:ascii="宋体" w:hAnsi="宋体" w:eastAsia="宋体" w:cs="宋体"/>
          <w:sz w:val="32"/>
          <w:szCs w:val="32"/>
          <w:highlight w:val="none"/>
          <w:lang w:val="en-US" w:eastAsia="zh-CN"/>
        </w:rPr>
      </w:pPr>
      <w:r>
        <w:rPr>
          <w:rFonts w:hint="eastAsia" w:ascii="宋体" w:hAnsi="宋体" w:eastAsia="宋体" w:cs="宋体"/>
          <w:sz w:val="32"/>
          <w:szCs w:val="32"/>
          <w:highlight w:val="none"/>
          <w:lang w:val="en-US" w:eastAsia="zh-CN"/>
        </w:rPr>
        <w:t>第二部分 商务</w:t>
      </w:r>
      <w:r>
        <w:rPr>
          <w:rFonts w:hint="eastAsia" w:ascii="宋体" w:hAnsi="宋体" w:eastAsia="宋体" w:cs="宋体"/>
          <w:sz w:val="32"/>
          <w:szCs w:val="32"/>
          <w:highlight w:val="none"/>
          <w:lang w:val="en-US" w:eastAsia="zh-CN"/>
        </w:rPr>
        <w:t>要求</w:t>
      </w:r>
    </w:p>
    <w:p>
      <w:pPr>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一、服务期限：</w:t>
      </w:r>
      <w:r>
        <w:rPr>
          <w:rFonts w:hint="eastAsia" w:ascii="仿宋" w:hAnsi="仿宋" w:eastAsia="仿宋" w:cs="仿宋"/>
          <w:b w:val="0"/>
          <w:bCs w:val="0"/>
          <w:sz w:val="28"/>
          <w:szCs w:val="28"/>
          <w:highlight w:val="none"/>
          <w:lang w:val="en-US" w:eastAsia="zh-CN"/>
        </w:rPr>
        <w:t>一年。</w:t>
      </w:r>
    </w:p>
    <w:p>
      <w:pPr>
        <w:pageBreakBefore w:val="0"/>
        <w:kinsoku/>
        <w:wordWrap/>
        <w:overflowPunct/>
        <w:topLinePunct w:val="0"/>
        <w:autoSpaceDE/>
        <w:autoSpaceDN/>
        <w:bidi w:val="0"/>
        <w:adjustRightInd w:val="0"/>
        <w:snapToGrid w:val="0"/>
        <w:spacing w:line="500" w:lineRule="exact"/>
        <w:ind w:firstLine="562"/>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二、服务地点</w:t>
      </w:r>
    </w:p>
    <w:p>
      <w:pPr>
        <w:pageBreakBefore w:val="0"/>
        <w:kinsoku/>
        <w:wordWrap/>
        <w:overflowPunct/>
        <w:topLinePunct w:val="0"/>
        <w:autoSpaceDE/>
        <w:autoSpaceDN/>
        <w:bidi w:val="0"/>
        <w:adjustRightInd w:val="0"/>
        <w:snapToGrid w:val="0"/>
        <w:spacing w:line="500" w:lineRule="exact"/>
        <w:ind w:firstLine="56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珠海市第三人民医院</w:t>
      </w:r>
      <w:r>
        <w:rPr>
          <w:rFonts w:hint="eastAsia" w:ascii="仿宋" w:hAnsi="仿宋" w:eastAsia="仿宋" w:cs="仿宋"/>
          <w:sz w:val="28"/>
          <w:szCs w:val="28"/>
          <w:highlight w:val="none"/>
          <w:lang w:val="en-US" w:eastAsia="zh-CN"/>
        </w:rPr>
        <w:t>南屏主院区、紫荆部和新村部</w:t>
      </w:r>
      <w:r>
        <w:rPr>
          <w:rFonts w:hint="eastAsia" w:ascii="仿宋" w:hAnsi="仿宋" w:eastAsia="仿宋" w:cs="仿宋"/>
          <w:sz w:val="28"/>
          <w:szCs w:val="28"/>
          <w:highlight w:val="none"/>
        </w:rPr>
        <w:t>。</w:t>
      </w:r>
    </w:p>
    <w:p>
      <w:pPr>
        <w:pageBreakBefore w:val="0"/>
        <w:kinsoku/>
        <w:wordWrap/>
        <w:overflowPunct/>
        <w:topLinePunct w:val="0"/>
        <w:autoSpaceDE/>
        <w:autoSpaceDN/>
        <w:bidi w:val="0"/>
        <w:adjustRightInd w:val="0"/>
        <w:snapToGrid w:val="0"/>
        <w:spacing w:line="500" w:lineRule="exact"/>
        <w:ind w:firstLine="562"/>
        <w:textAlignment w:val="auto"/>
        <w:rPr>
          <w:rFonts w:hint="eastAsia" w:ascii="仿宋" w:hAnsi="仿宋" w:eastAsia="仿宋" w:cs="仿宋"/>
          <w:b/>
          <w:bCs/>
          <w:kern w:val="2"/>
          <w:sz w:val="28"/>
          <w:szCs w:val="28"/>
          <w:highlight w:val="none"/>
          <w:lang w:val="en-US" w:eastAsia="zh-CN"/>
        </w:rPr>
      </w:pPr>
      <w:r>
        <w:rPr>
          <w:rFonts w:hint="eastAsia" w:ascii="仿宋" w:hAnsi="仿宋" w:eastAsia="仿宋" w:cs="仿宋"/>
          <w:b/>
          <w:bCs/>
          <w:kern w:val="2"/>
          <w:sz w:val="28"/>
          <w:szCs w:val="28"/>
          <w:highlight w:val="none"/>
          <w:lang w:val="en-US" w:eastAsia="zh-CN"/>
        </w:rPr>
        <w:t>三、预算金额</w:t>
      </w:r>
    </w:p>
    <w:p>
      <w:pPr>
        <w:pageBreakBefore w:val="0"/>
        <w:kinsoku/>
        <w:wordWrap/>
        <w:overflowPunct/>
        <w:topLinePunct w:val="0"/>
        <w:autoSpaceDE/>
        <w:autoSpaceDN/>
        <w:bidi w:val="0"/>
        <w:adjustRightInd w:val="0"/>
        <w:snapToGrid w:val="0"/>
        <w:spacing w:line="500" w:lineRule="exact"/>
        <w:ind w:firstLine="560"/>
        <w:textAlignment w:val="auto"/>
        <w:rPr>
          <w:rFonts w:hint="eastAsia" w:ascii="仿宋" w:hAnsi="仿宋" w:eastAsia="仿宋" w:cs="仿宋"/>
          <w:b w:val="0"/>
          <w:bCs w:val="0"/>
          <w:sz w:val="28"/>
          <w:szCs w:val="28"/>
          <w:highlight w:val="none"/>
          <w:lang w:eastAsia="zh-CN"/>
        </w:rPr>
      </w:pPr>
      <w:r>
        <w:rPr>
          <w:rFonts w:hint="eastAsia" w:ascii="仿宋" w:hAnsi="仿宋" w:eastAsia="仿宋" w:cs="仿宋"/>
          <w:b w:val="0"/>
          <w:bCs w:val="0"/>
          <w:sz w:val="28"/>
          <w:szCs w:val="28"/>
          <w:highlight w:val="none"/>
          <w:lang w:eastAsia="zh-CN"/>
        </w:rPr>
        <w:t>壹年总预算为</w:t>
      </w:r>
      <w:r>
        <w:rPr>
          <w:rFonts w:hint="eastAsia" w:ascii="仿宋" w:hAnsi="仿宋" w:eastAsia="仿宋" w:cs="仿宋"/>
          <w:b w:val="0"/>
          <w:bCs w:val="0"/>
          <w:sz w:val="28"/>
          <w:szCs w:val="28"/>
          <w:highlight w:val="none"/>
          <w:lang w:val="en-US" w:eastAsia="zh-CN"/>
        </w:rPr>
        <w:t>32</w:t>
      </w:r>
      <w:r>
        <w:rPr>
          <w:rFonts w:hint="eastAsia" w:ascii="仿宋" w:hAnsi="仿宋" w:eastAsia="仿宋" w:cs="仿宋"/>
          <w:b w:val="0"/>
          <w:bCs w:val="0"/>
          <w:sz w:val="28"/>
          <w:szCs w:val="28"/>
          <w:highlight w:val="none"/>
          <w:lang w:eastAsia="zh-CN"/>
        </w:rPr>
        <w:t>万。</w:t>
      </w:r>
    </w:p>
    <w:p>
      <w:pPr>
        <w:pStyle w:val="8"/>
        <w:keepNext w:val="0"/>
        <w:keepLines w:val="0"/>
        <w:pageBreakBefore w:val="0"/>
        <w:numPr>
          <w:ilvl w:val="-1"/>
          <w:numId w:val="0"/>
        </w:numPr>
        <w:tabs>
          <w:tab w:val="left" w:pos="540"/>
        </w:tabs>
        <w:kinsoku/>
        <w:wordWrap/>
        <w:overflowPunct/>
        <w:topLinePunct w:val="0"/>
        <w:autoSpaceDE/>
        <w:autoSpaceDN/>
        <w:bidi w:val="0"/>
        <w:adjustRightInd w:val="0"/>
        <w:snapToGrid w:val="0"/>
        <w:spacing w:line="500" w:lineRule="exact"/>
        <w:ind w:left="0" w:leftChars="0" w:firstLine="562"/>
        <w:textAlignment w:val="auto"/>
        <w:rPr>
          <w:rFonts w:hint="eastAsia"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四、</w:t>
      </w:r>
      <w:r>
        <w:rPr>
          <w:rFonts w:hint="eastAsia" w:ascii="仿宋" w:hAnsi="仿宋" w:eastAsia="仿宋" w:cs="仿宋"/>
          <w:b/>
          <w:bCs/>
          <w:color w:val="auto"/>
          <w:kern w:val="0"/>
          <w:sz w:val="28"/>
          <w:szCs w:val="28"/>
          <w:highlight w:val="none"/>
          <w:lang w:val="en-US" w:eastAsia="zh-CN" w:bidi="ar"/>
        </w:rPr>
        <w:t>成交供应商的违约责任</w:t>
      </w:r>
    </w:p>
    <w:p>
      <w:pPr>
        <w:pStyle w:val="8"/>
        <w:keepNext w:val="0"/>
        <w:keepLines w:val="0"/>
        <w:pageBreakBefore w:val="0"/>
        <w:numPr>
          <w:ilvl w:val="0"/>
          <w:numId w:val="0"/>
        </w:numPr>
        <w:tabs>
          <w:tab w:val="left" w:pos="540"/>
        </w:tabs>
        <w:kinsoku/>
        <w:wordWrap/>
        <w:overflowPunct/>
        <w:topLinePunct w:val="0"/>
        <w:autoSpaceDE/>
        <w:autoSpaceDN/>
        <w:bidi w:val="0"/>
        <w:adjustRightInd w:val="0"/>
        <w:snapToGrid w:val="0"/>
        <w:spacing w:line="500" w:lineRule="exact"/>
        <w:ind w:leftChars="0" w:firstLine="560" w:firstLineChars="200"/>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b w:val="0"/>
          <w:bCs w:val="0"/>
          <w:sz w:val="28"/>
          <w:szCs w:val="28"/>
          <w:highlight w:val="none"/>
          <w:lang w:val="en-US" w:eastAsia="zh-CN"/>
        </w:rPr>
        <w:t>如因成交供应商操作、维护、保养或投药不足等管理不当致使污水检验不合格受环保部门的所发生的一切处罚，责任由成交供应商承担。若因成交供应商操作、维护、保养或投药不足等管理不当所发生的上级管理部门的通报或批评，每发生一次扣罚1000元,如有额外处罚金额，由成交供应商承担。</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00" w:lineRule="exact"/>
        <w:ind w:left="0" w:leftChars="0" w:right="0" w:firstLine="560" w:firstLineChars="200"/>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2.如发生下述情况的，采购人有权取消与成交供应商合作，且成交供应商需向采购人支付成交金额[5]%的违约金，造成损失的，成交供应商应承担全部赔偿责任:</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00" w:lineRule="exact"/>
        <w:ind w:left="250" w:leftChars="104" w:right="0" w:firstLine="579" w:firstLineChars="207"/>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1)成交供应商不具备履行本项目所需的一切资质；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00" w:lineRule="exact"/>
        <w:ind w:left="250" w:leftChars="104" w:right="0" w:firstLine="579" w:firstLineChars="207"/>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2)成交供应商工作人员违规操作、不服从采购人的监督管理；</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00" w:lineRule="exact"/>
        <w:ind w:left="250" w:leftChars="104" w:right="0" w:firstLine="579" w:firstLineChars="207"/>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3)因成交供应商原因导致的安全事故；</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00" w:lineRule="exact"/>
        <w:ind w:left="250" w:leftChars="104" w:right="0" w:firstLine="579" w:firstLineChars="207"/>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4)成交供应商未及时维护、维修设施设备；</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00" w:lineRule="exact"/>
        <w:ind w:left="250" w:leftChars="104" w:right="0" w:firstLine="579" w:firstLineChars="207"/>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5)未能按时及按采购人要求提供的各项报告、记录及其他相关资料；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00" w:lineRule="exact"/>
        <w:ind w:left="250" w:leftChars="104" w:right="0" w:firstLine="579" w:firstLineChars="207"/>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6)成交供应商擅自更换已在采购人处备案的工作人员，或不及时按采购人要求更换不符合采购人要求的人员；</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00" w:lineRule="exact"/>
        <w:ind w:left="250" w:leftChars="104" w:right="0" w:firstLine="579" w:firstLineChars="207"/>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7)发生成交供应商派出的工作人员存在人数不足、没有持证上岗、工作时间不足等情况，成交供应商拒不整改；</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00" w:lineRule="exact"/>
        <w:ind w:left="250" w:leftChars="104" w:right="0" w:firstLine="579" w:firstLineChars="207"/>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8)污水排放经检测经抽查不达标次数达到1次；</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00" w:lineRule="exact"/>
        <w:ind w:left="250" w:leftChars="104" w:right="0" w:firstLine="579" w:firstLineChars="207"/>
        <w:jc w:val="left"/>
        <w:textAlignment w:val="auto"/>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9)成交供应商存在其他违反约定的行为且拒不整改的或整改效果不符合要求的采购人。</w:t>
      </w:r>
    </w:p>
    <w:p>
      <w:pPr>
        <w:keepNext w:val="0"/>
        <w:keepLines w:val="0"/>
        <w:pageBreakBefore w:val="0"/>
        <w:kinsoku/>
        <w:wordWrap/>
        <w:overflowPunct/>
        <w:topLinePunct w:val="0"/>
        <w:autoSpaceDE/>
        <w:autoSpaceDN/>
        <w:bidi w:val="0"/>
        <w:adjustRightInd w:val="0"/>
        <w:snapToGrid w:val="0"/>
        <w:spacing w:line="500" w:lineRule="exact"/>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3.非特殊情况除不可抗力外，全部污水必须经按正常处理并合格后再排放，如采购人发现污水未经处理外排，所造成的损失成交供应商全部承担。采购人有权取消与成交供应商合作，且成交供应商需向采购人支付成交金额[5]%的违约金。</w:t>
      </w:r>
    </w:p>
    <w:p>
      <w:pPr>
        <w:pStyle w:val="8"/>
        <w:keepNext w:val="0"/>
        <w:keepLines w:val="0"/>
        <w:pageBreakBefore w:val="0"/>
        <w:numPr>
          <w:ilvl w:val="-1"/>
          <w:numId w:val="0"/>
        </w:numPr>
        <w:tabs>
          <w:tab w:val="left" w:pos="540"/>
        </w:tabs>
        <w:kinsoku/>
        <w:wordWrap/>
        <w:overflowPunct/>
        <w:topLinePunct w:val="0"/>
        <w:autoSpaceDE/>
        <w:autoSpaceDN/>
        <w:bidi w:val="0"/>
        <w:adjustRightInd w:val="0"/>
        <w:snapToGrid w:val="0"/>
        <w:spacing w:line="500" w:lineRule="exact"/>
        <w:ind w:left="480" w:leftChars="200" w:firstLine="0" w:firstLineChars="0"/>
        <w:textAlignment w:val="auto"/>
        <w:rPr>
          <w:rFonts w:hint="eastAsia" w:ascii="仿宋" w:hAnsi="仿宋" w:eastAsia="仿宋" w:cs="仿宋"/>
          <w:b/>
          <w:bCs/>
          <w:color w:val="auto"/>
          <w:kern w:val="0"/>
          <w:sz w:val="28"/>
          <w:szCs w:val="28"/>
          <w:highlight w:val="none"/>
          <w:lang w:val="en-US" w:eastAsia="zh-CN" w:bidi="ar"/>
        </w:rPr>
      </w:pPr>
      <w:r>
        <w:rPr>
          <w:rFonts w:hint="eastAsia" w:ascii="仿宋" w:hAnsi="仿宋" w:eastAsia="仿宋" w:cs="仿宋"/>
          <w:b/>
          <w:bCs/>
          <w:color w:val="auto"/>
          <w:kern w:val="0"/>
          <w:sz w:val="28"/>
          <w:szCs w:val="28"/>
          <w:highlight w:val="none"/>
          <w:lang w:val="en-US" w:eastAsia="zh-CN" w:bidi="ar"/>
        </w:rPr>
        <w:t>五、</w:t>
      </w:r>
      <w:r>
        <w:rPr>
          <w:rFonts w:hint="eastAsia" w:ascii="仿宋" w:hAnsi="仿宋" w:eastAsia="仿宋" w:cs="仿宋"/>
          <w:b/>
          <w:bCs/>
          <w:color w:val="auto"/>
          <w:kern w:val="0"/>
          <w:sz w:val="28"/>
          <w:szCs w:val="28"/>
          <w:highlight w:val="none"/>
          <w:lang w:val="en-US" w:eastAsia="zh-CN" w:bidi="ar"/>
        </w:rPr>
        <w:t xml:space="preserve">验收及标准 </w:t>
      </w:r>
    </w:p>
    <w:p>
      <w:pPr>
        <w:keepNext w:val="0"/>
        <w:keepLines w:val="0"/>
        <w:pageBreakBefore w:val="0"/>
        <w:kinsoku/>
        <w:wordWrap/>
        <w:overflowPunct/>
        <w:topLinePunct w:val="0"/>
        <w:autoSpaceDE/>
        <w:autoSpaceDN/>
        <w:bidi w:val="0"/>
        <w:adjustRightInd w:val="0"/>
        <w:snapToGrid w:val="0"/>
        <w:spacing w:line="500" w:lineRule="exact"/>
        <w:ind w:firstLine="560" w:firstLineChars="200"/>
        <w:textAlignment w:val="auto"/>
        <w:rPr>
          <w:rFonts w:hint="eastAsia" w:ascii="仿宋" w:hAnsi="仿宋" w:eastAsia="仿宋" w:cs="仿宋"/>
          <w:color w:val="auto"/>
          <w:kern w:val="0"/>
          <w:sz w:val="28"/>
          <w:szCs w:val="28"/>
          <w:highlight w:val="none"/>
          <w:lang w:val="en-US" w:eastAsia="zh-CN" w:bidi="ar"/>
        </w:rPr>
      </w:pPr>
      <w:r>
        <w:rPr>
          <w:rFonts w:hint="eastAsia" w:ascii="仿宋" w:hAnsi="仿宋" w:eastAsia="仿宋" w:cs="仿宋"/>
          <w:color w:val="auto"/>
          <w:kern w:val="0"/>
          <w:sz w:val="28"/>
          <w:szCs w:val="28"/>
          <w:highlight w:val="none"/>
          <w:lang w:val="en-US" w:eastAsia="zh-CN" w:bidi="ar"/>
        </w:rPr>
        <w:t xml:space="preserve">1.完成全部合同约定的服务内容且采购人收到验收申请后10个日历日内进行验收。 </w:t>
      </w:r>
    </w:p>
    <w:p>
      <w:pPr>
        <w:keepNext w:val="0"/>
        <w:keepLines w:val="0"/>
        <w:pageBreakBefore w:val="0"/>
        <w:kinsoku/>
        <w:wordWrap/>
        <w:overflowPunct/>
        <w:topLinePunct w:val="0"/>
        <w:autoSpaceDE/>
        <w:autoSpaceDN/>
        <w:bidi w:val="0"/>
        <w:adjustRightInd w:val="0"/>
        <w:snapToGrid w:val="0"/>
        <w:spacing w:line="500" w:lineRule="exact"/>
        <w:ind w:left="0" w:leftChars="0"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val="en-US" w:eastAsia="zh-CN" w:bidi="ar"/>
        </w:rPr>
        <w:t>2.</w:t>
      </w:r>
      <w:r>
        <w:rPr>
          <w:rFonts w:hint="eastAsia" w:ascii="仿宋" w:hAnsi="仿宋" w:eastAsia="仿宋" w:cs="仿宋"/>
          <w:color w:val="auto"/>
          <w:sz w:val="28"/>
          <w:szCs w:val="28"/>
          <w:highlight w:val="none"/>
        </w:rPr>
        <w:t>验收在采购人和成交供应商双方共同参与下按国家有关规定、规范</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履约地相关安全质量标准、行业技术规范标准、环保节能标准以及磋商文件的要求和技术指标、响应文件及承诺与本合同约定标准进行验收。上述各类标准与法规必须是有关官方机构最新发布的现行标准版本。</w:t>
      </w:r>
    </w:p>
    <w:p>
      <w:pPr>
        <w:pStyle w:val="8"/>
        <w:keepNext w:val="0"/>
        <w:keepLines w:val="0"/>
        <w:pageBreakBefore w:val="0"/>
        <w:numPr>
          <w:ilvl w:val="-1"/>
          <w:numId w:val="0"/>
        </w:numPr>
        <w:tabs>
          <w:tab w:val="left" w:pos="540"/>
        </w:tabs>
        <w:kinsoku/>
        <w:wordWrap/>
        <w:overflowPunct/>
        <w:topLinePunct w:val="0"/>
        <w:autoSpaceDE/>
        <w:autoSpaceDN/>
        <w:bidi w:val="0"/>
        <w:adjustRightInd w:val="0"/>
        <w:snapToGrid w:val="0"/>
        <w:spacing w:line="500" w:lineRule="exact"/>
        <w:ind w:left="0" w:leftChars="0" w:firstLine="562"/>
        <w:textAlignment w:val="auto"/>
        <w:rPr>
          <w:rFonts w:hint="eastAsia" w:ascii="仿宋" w:hAnsi="仿宋" w:eastAsia="仿宋" w:cs="仿宋"/>
          <w:b/>
          <w:bCs/>
          <w:color w:val="auto"/>
          <w:sz w:val="28"/>
          <w:szCs w:val="28"/>
          <w:highlight w:val="none"/>
          <w:lang w:bidi="ar"/>
        </w:rPr>
      </w:pPr>
      <w:r>
        <w:rPr>
          <w:rFonts w:hint="eastAsia" w:ascii="仿宋" w:hAnsi="仿宋" w:eastAsia="仿宋" w:cs="仿宋"/>
          <w:b/>
          <w:bCs/>
          <w:color w:val="auto"/>
          <w:kern w:val="0"/>
          <w:sz w:val="28"/>
          <w:szCs w:val="28"/>
          <w:highlight w:val="none"/>
          <w:lang w:val="en-US" w:eastAsia="zh-CN" w:bidi="ar"/>
        </w:rPr>
        <w:t>六、</w:t>
      </w:r>
      <w:r>
        <w:rPr>
          <w:rFonts w:hint="eastAsia" w:ascii="仿宋" w:hAnsi="仿宋" w:eastAsia="仿宋" w:cs="仿宋"/>
          <w:b/>
          <w:bCs/>
          <w:color w:val="auto"/>
          <w:kern w:val="0"/>
          <w:sz w:val="28"/>
          <w:szCs w:val="28"/>
          <w:highlight w:val="none"/>
          <w:lang w:val="en-US" w:eastAsia="zh-CN" w:bidi="ar"/>
        </w:rPr>
        <w:t xml:space="preserve">维护服务要求 </w:t>
      </w:r>
    </w:p>
    <w:p>
      <w:pPr>
        <w:pageBreakBefore w:val="0"/>
        <w:kinsoku/>
        <w:wordWrap/>
        <w:overflowPunct/>
        <w:topLinePunct w:val="0"/>
        <w:autoSpaceDE/>
        <w:autoSpaceDN/>
        <w:bidi w:val="0"/>
        <w:adjustRightInd w:val="0"/>
        <w:snapToGrid w:val="0"/>
        <w:spacing w:line="500" w:lineRule="exact"/>
        <w:ind w:right="-19" w:rightChars="-8"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服务期间，成交供应商提供全过程各环节服务，电话支持提供7*24小时服务。一旦出现突发情况或问题，成交供应商接到采购人电话求助或故障报告后，立即以电话形式帮助采购人，指导现场技术人员和用户解决问题。</w:t>
      </w:r>
    </w:p>
    <w:p>
      <w:pPr>
        <w:pStyle w:val="8"/>
        <w:keepNext w:val="0"/>
        <w:keepLines w:val="0"/>
        <w:pageBreakBefore w:val="0"/>
        <w:numPr>
          <w:ilvl w:val="-1"/>
          <w:numId w:val="0"/>
        </w:numPr>
        <w:tabs>
          <w:tab w:val="left" w:pos="540"/>
        </w:tabs>
        <w:kinsoku/>
        <w:wordWrap/>
        <w:overflowPunct/>
        <w:topLinePunct w:val="0"/>
        <w:autoSpaceDE/>
        <w:autoSpaceDN/>
        <w:bidi w:val="0"/>
        <w:adjustRightInd w:val="0"/>
        <w:snapToGrid w:val="0"/>
        <w:spacing w:line="500" w:lineRule="exact"/>
        <w:ind w:left="0" w:leftChars="0" w:firstLine="562"/>
        <w:textAlignment w:val="auto"/>
        <w:rPr>
          <w:rFonts w:hint="eastAsia" w:ascii="仿宋" w:hAnsi="仿宋" w:eastAsia="仿宋" w:cs="仿宋"/>
          <w:b/>
          <w:bCs/>
          <w:color w:val="auto"/>
          <w:sz w:val="28"/>
          <w:szCs w:val="28"/>
          <w:highlight w:val="none"/>
          <w:lang w:bidi="ar"/>
        </w:rPr>
      </w:pPr>
      <w:r>
        <w:rPr>
          <w:rFonts w:hint="eastAsia" w:ascii="仿宋" w:hAnsi="仿宋" w:eastAsia="仿宋" w:cs="仿宋"/>
          <w:b/>
          <w:bCs/>
          <w:color w:val="auto"/>
          <w:kern w:val="0"/>
          <w:sz w:val="28"/>
          <w:szCs w:val="28"/>
          <w:highlight w:val="none"/>
          <w:lang w:val="en-US" w:eastAsia="zh-CN" w:bidi="ar"/>
        </w:rPr>
        <w:t>七、</w:t>
      </w:r>
      <w:r>
        <w:rPr>
          <w:rFonts w:hint="eastAsia" w:ascii="仿宋" w:hAnsi="仿宋" w:eastAsia="仿宋" w:cs="仿宋"/>
          <w:b/>
          <w:bCs/>
          <w:color w:val="auto"/>
          <w:kern w:val="0"/>
          <w:sz w:val="28"/>
          <w:szCs w:val="28"/>
          <w:highlight w:val="none"/>
          <w:lang w:val="en-US" w:eastAsia="zh-CN" w:bidi="ar"/>
        </w:rPr>
        <w:t xml:space="preserve">付款及结算方式 </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560" w:firstLineChars="200"/>
        <w:textAlignment w:val="auto"/>
        <w:rPr>
          <w:rFonts w:hint="eastAsia" w:ascii="仿宋" w:hAnsi="仿宋" w:eastAsia="仿宋" w:cs="仿宋"/>
          <w:color w:val="auto"/>
          <w:kern w:val="21"/>
          <w:sz w:val="28"/>
          <w:szCs w:val="28"/>
          <w:highlight w:val="none"/>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eastAsia="zh-CN"/>
        </w:rPr>
        <w:t>根据实际情况按月付款，成交供应商每月5日前向采购人提供申请付款的相关资料及符合采购人要求的完税合法有效发票，如有扣罚采购人将从成交供应商服务费中扣除。采购人收到成交供应商提供合格付款资料后，</w:t>
      </w:r>
      <w:r>
        <w:rPr>
          <w:rFonts w:hint="eastAsia" w:ascii="仿宋" w:hAnsi="仿宋" w:eastAsia="仿宋" w:cs="仿宋"/>
          <w:color w:val="auto"/>
          <w:sz w:val="28"/>
          <w:szCs w:val="28"/>
          <w:highlight w:val="none"/>
          <w:lang w:val="en-US" w:eastAsia="zh-CN"/>
        </w:rPr>
        <w:t>15日</w:t>
      </w:r>
      <w:r>
        <w:rPr>
          <w:rFonts w:hint="eastAsia" w:ascii="仿宋" w:hAnsi="仿宋" w:eastAsia="仿宋" w:cs="仿宋"/>
          <w:color w:val="auto"/>
          <w:sz w:val="28"/>
          <w:szCs w:val="28"/>
          <w:highlight w:val="none"/>
          <w:lang w:eastAsia="zh-CN"/>
        </w:rPr>
        <w:t>内</w:t>
      </w:r>
      <w:r>
        <w:rPr>
          <w:rFonts w:hint="eastAsia" w:ascii="仿宋" w:hAnsi="仿宋" w:eastAsia="仿宋" w:cs="仿宋"/>
          <w:color w:val="auto"/>
          <w:sz w:val="28"/>
          <w:szCs w:val="28"/>
          <w:highlight w:val="none"/>
          <w:lang w:val="en-US" w:eastAsia="zh-CN"/>
        </w:rPr>
        <w:t>通过转账方式向成交供应商支付</w:t>
      </w:r>
      <w:r>
        <w:rPr>
          <w:rFonts w:hint="eastAsia" w:ascii="仿宋" w:hAnsi="仿宋" w:eastAsia="仿宋" w:cs="仿宋"/>
          <w:color w:val="auto"/>
          <w:sz w:val="28"/>
          <w:szCs w:val="28"/>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00" w:lineRule="exact"/>
        <w:ind w:right="0" w:rightChars="0" w:firstLine="560" w:firstLineChars="200"/>
        <w:textAlignment w:val="auto"/>
        <w:rPr>
          <w:rFonts w:hint="eastAsia" w:ascii="仿宋" w:hAnsi="仿宋" w:eastAsia="仿宋" w:cs="仿宋"/>
          <w:color w:val="auto"/>
          <w:kern w:val="21"/>
          <w:sz w:val="28"/>
          <w:szCs w:val="28"/>
          <w:highlight w:val="none"/>
        </w:rPr>
      </w:pPr>
      <w:r>
        <w:rPr>
          <w:rFonts w:hint="eastAsia" w:ascii="仿宋" w:hAnsi="仿宋" w:eastAsia="仿宋" w:cs="仿宋"/>
          <w:color w:val="auto"/>
          <w:kern w:val="21"/>
          <w:sz w:val="28"/>
          <w:szCs w:val="28"/>
          <w:highlight w:val="none"/>
          <w:lang w:val="en-US" w:eastAsia="zh-CN"/>
        </w:rPr>
        <w:t>2.</w:t>
      </w:r>
      <w:r>
        <w:rPr>
          <w:rFonts w:hint="eastAsia" w:ascii="仿宋" w:hAnsi="仿宋" w:eastAsia="仿宋" w:cs="仿宋"/>
          <w:color w:val="auto"/>
          <w:kern w:val="21"/>
          <w:sz w:val="28"/>
          <w:szCs w:val="28"/>
          <w:highlight w:val="none"/>
        </w:rPr>
        <w:t>成交供应商凭以下有效文件与采购人结算：</w:t>
      </w:r>
    </w:p>
    <w:p>
      <w:pPr>
        <w:pageBreakBefore w:val="0"/>
        <w:kinsoku/>
        <w:wordWrap/>
        <w:overflowPunct/>
        <w:topLinePunct w:val="0"/>
        <w:autoSpaceDE/>
        <w:autoSpaceDN/>
        <w:bidi w:val="0"/>
        <w:adjustRightInd w:val="0"/>
        <w:snapToGrid w:val="0"/>
        <w:spacing w:line="500" w:lineRule="exact"/>
        <w:ind w:right="-19" w:rightChars="-8" w:firstLine="560" w:firstLineChars="200"/>
        <w:textAlignment w:val="auto"/>
        <w:rPr>
          <w:rFonts w:hint="eastAsia" w:ascii="仿宋" w:hAnsi="仿宋" w:eastAsia="仿宋" w:cs="仿宋"/>
          <w:color w:val="auto"/>
          <w:kern w:val="21"/>
          <w:sz w:val="28"/>
          <w:szCs w:val="28"/>
          <w:highlight w:val="none"/>
        </w:rPr>
      </w:pPr>
      <w:r>
        <w:rPr>
          <w:rFonts w:hint="eastAsia" w:ascii="仿宋" w:hAnsi="仿宋" w:eastAsia="仿宋" w:cs="仿宋"/>
          <w:color w:val="auto"/>
          <w:kern w:val="21"/>
          <w:sz w:val="28"/>
          <w:szCs w:val="28"/>
          <w:highlight w:val="none"/>
        </w:rPr>
        <w:t>（1）合同；</w:t>
      </w:r>
    </w:p>
    <w:p>
      <w:pPr>
        <w:pageBreakBefore w:val="0"/>
        <w:kinsoku/>
        <w:wordWrap/>
        <w:overflowPunct/>
        <w:topLinePunct w:val="0"/>
        <w:autoSpaceDE/>
        <w:autoSpaceDN/>
        <w:bidi w:val="0"/>
        <w:adjustRightInd w:val="0"/>
        <w:snapToGrid w:val="0"/>
        <w:spacing w:line="500" w:lineRule="exact"/>
        <w:ind w:right="-19" w:rightChars="-8" w:firstLine="560" w:firstLineChars="200"/>
        <w:textAlignment w:val="auto"/>
        <w:rPr>
          <w:rFonts w:hint="eastAsia" w:ascii="仿宋" w:hAnsi="仿宋" w:eastAsia="仿宋" w:cs="仿宋"/>
          <w:color w:val="auto"/>
          <w:kern w:val="21"/>
          <w:sz w:val="28"/>
          <w:szCs w:val="28"/>
          <w:highlight w:val="none"/>
        </w:rPr>
      </w:pPr>
      <w:r>
        <w:rPr>
          <w:rFonts w:hint="eastAsia" w:ascii="仿宋" w:hAnsi="仿宋" w:eastAsia="仿宋" w:cs="仿宋"/>
          <w:color w:val="auto"/>
          <w:kern w:val="21"/>
          <w:sz w:val="28"/>
          <w:szCs w:val="28"/>
          <w:highlight w:val="none"/>
        </w:rPr>
        <w:t>（2）成交供应商开具的</w:t>
      </w:r>
      <w:r>
        <w:rPr>
          <w:rFonts w:hint="eastAsia" w:ascii="仿宋" w:hAnsi="仿宋" w:eastAsia="仿宋" w:cs="仿宋"/>
          <w:color w:val="auto"/>
          <w:sz w:val="28"/>
          <w:szCs w:val="28"/>
          <w:highlight w:val="none"/>
          <w:lang w:eastAsia="zh-CN"/>
        </w:rPr>
        <w:t>符合采购人要求的完税合法有效发票</w:t>
      </w:r>
      <w:r>
        <w:rPr>
          <w:rFonts w:hint="eastAsia" w:ascii="仿宋" w:hAnsi="仿宋" w:eastAsia="仿宋" w:cs="仿宋"/>
          <w:color w:val="auto"/>
          <w:kern w:val="21"/>
          <w:sz w:val="28"/>
          <w:szCs w:val="28"/>
          <w:highlight w:val="none"/>
        </w:rPr>
        <w:t>；</w:t>
      </w:r>
    </w:p>
    <w:p>
      <w:pPr>
        <w:pageBreakBefore w:val="0"/>
        <w:kinsoku/>
        <w:wordWrap/>
        <w:overflowPunct/>
        <w:topLinePunct w:val="0"/>
        <w:autoSpaceDE/>
        <w:autoSpaceDN/>
        <w:bidi w:val="0"/>
        <w:adjustRightInd w:val="0"/>
        <w:snapToGrid w:val="0"/>
        <w:spacing w:line="500" w:lineRule="exact"/>
        <w:ind w:right="-19" w:rightChars="-8" w:firstLine="560" w:firstLineChars="200"/>
        <w:textAlignment w:val="auto"/>
        <w:rPr>
          <w:rFonts w:hint="eastAsia" w:ascii="仿宋" w:hAnsi="仿宋" w:eastAsia="仿宋" w:cs="仿宋"/>
          <w:color w:val="auto"/>
          <w:kern w:val="21"/>
          <w:sz w:val="28"/>
          <w:szCs w:val="28"/>
          <w:highlight w:val="none"/>
        </w:rPr>
      </w:pPr>
      <w:r>
        <w:rPr>
          <w:rFonts w:hint="eastAsia" w:ascii="仿宋" w:hAnsi="仿宋" w:eastAsia="仿宋" w:cs="仿宋"/>
          <w:color w:val="auto"/>
          <w:kern w:val="21"/>
          <w:sz w:val="28"/>
          <w:szCs w:val="28"/>
          <w:highlight w:val="none"/>
        </w:rPr>
        <w:t>（3）成交通知书。</w:t>
      </w:r>
    </w:p>
    <w:p>
      <w:pPr>
        <w:pageBreakBefore w:val="0"/>
        <w:kinsoku/>
        <w:wordWrap/>
        <w:overflowPunct/>
        <w:topLinePunct w:val="0"/>
        <w:autoSpaceDE/>
        <w:autoSpaceDN/>
        <w:bidi w:val="0"/>
        <w:adjustRightInd w:val="0"/>
        <w:snapToGrid w:val="0"/>
        <w:spacing w:line="500" w:lineRule="exact"/>
        <w:ind w:right="-19" w:rightChars="-8" w:firstLine="560" w:firstLineChars="200"/>
        <w:textAlignment w:val="auto"/>
        <w:rPr>
          <w:rFonts w:hint="eastAsia" w:ascii="仿宋" w:hAnsi="仿宋" w:eastAsia="仿宋" w:cs="仿宋"/>
          <w:color w:val="auto"/>
          <w:kern w:val="21"/>
          <w:sz w:val="28"/>
          <w:szCs w:val="28"/>
          <w:highlight w:val="none"/>
          <w:lang w:val="en-US" w:eastAsia="zh-CN"/>
        </w:rPr>
      </w:pPr>
      <w:r>
        <w:rPr>
          <w:rFonts w:hint="eastAsia" w:ascii="仿宋" w:hAnsi="仿宋" w:eastAsia="仿宋" w:cs="仿宋"/>
          <w:color w:val="auto"/>
          <w:kern w:val="21"/>
          <w:sz w:val="28"/>
          <w:szCs w:val="28"/>
          <w:highlight w:val="none"/>
          <w:lang w:val="en-US" w:eastAsia="zh-CN"/>
        </w:rPr>
        <w:t>（4）</w:t>
      </w:r>
      <w:r>
        <w:rPr>
          <w:rFonts w:hint="eastAsia" w:ascii="仿宋" w:hAnsi="仿宋" w:eastAsia="仿宋" w:cs="仿宋"/>
          <w:color w:val="auto"/>
          <w:kern w:val="21"/>
          <w:sz w:val="28"/>
          <w:szCs w:val="28"/>
          <w:highlight w:val="none"/>
          <w:lang w:val="en-US" w:eastAsia="zh-CN"/>
        </w:rPr>
        <w:t>按要求提供</w:t>
      </w:r>
      <w:r>
        <w:rPr>
          <w:rFonts w:hint="eastAsia" w:ascii="仿宋" w:hAnsi="仿宋" w:eastAsia="仿宋" w:cs="仿宋"/>
          <w:color w:val="auto"/>
          <w:kern w:val="21"/>
          <w:sz w:val="28"/>
          <w:szCs w:val="28"/>
          <w:highlight w:val="none"/>
          <w:lang w:val="en-US" w:eastAsia="zh-CN"/>
        </w:rPr>
        <w:t>合格检测报告。</w:t>
      </w:r>
    </w:p>
    <w:p>
      <w:pPr>
        <w:pageBreakBefore w:val="0"/>
        <w:kinsoku/>
        <w:wordWrap/>
        <w:overflowPunct/>
        <w:topLinePunct w:val="0"/>
        <w:autoSpaceDE/>
        <w:autoSpaceDN/>
        <w:bidi w:val="0"/>
        <w:adjustRightInd w:val="0"/>
        <w:snapToGrid w:val="0"/>
        <w:spacing w:line="500" w:lineRule="exact"/>
        <w:ind w:right="-19" w:rightChars="-8" w:firstLine="560" w:firstLineChars="200"/>
        <w:textAlignment w:val="auto"/>
        <w:rPr>
          <w:rFonts w:hint="eastAsia" w:ascii="仿宋" w:hAnsi="仿宋" w:eastAsia="仿宋" w:cs="仿宋"/>
          <w:color w:val="auto"/>
          <w:kern w:val="21"/>
          <w:sz w:val="28"/>
          <w:szCs w:val="28"/>
          <w:highlight w:val="none"/>
          <w:lang w:val="en-US" w:eastAsia="zh-CN"/>
        </w:rPr>
      </w:pPr>
    </w:p>
    <w:p>
      <w:pPr>
        <w:pageBreakBefore w:val="0"/>
        <w:kinsoku/>
        <w:wordWrap/>
        <w:overflowPunct/>
        <w:topLinePunct w:val="0"/>
        <w:autoSpaceDE/>
        <w:autoSpaceDN/>
        <w:bidi w:val="0"/>
        <w:adjustRightInd w:val="0"/>
        <w:snapToGrid w:val="0"/>
        <w:spacing w:line="500" w:lineRule="exact"/>
        <w:ind w:right="-19" w:rightChars="-8" w:firstLine="560" w:firstLineChars="200"/>
        <w:textAlignment w:val="auto"/>
        <w:rPr>
          <w:rFonts w:hint="eastAsia" w:ascii="仿宋" w:hAnsi="仿宋" w:eastAsia="仿宋" w:cs="仿宋"/>
          <w:color w:val="auto"/>
          <w:kern w:val="21"/>
          <w:sz w:val="28"/>
          <w:szCs w:val="28"/>
          <w:highlight w:val="none"/>
          <w:lang w:val="en-US" w:eastAsia="zh-CN"/>
        </w:rPr>
      </w:pPr>
      <w:r>
        <w:rPr>
          <w:rFonts w:hint="eastAsia" w:ascii="仿宋" w:hAnsi="仿宋" w:eastAsia="仿宋" w:cs="仿宋"/>
          <w:color w:val="auto"/>
          <w:kern w:val="21"/>
          <w:sz w:val="28"/>
          <w:szCs w:val="28"/>
          <w:highlight w:val="none"/>
          <w:lang w:val="en-US" w:eastAsia="zh-CN"/>
        </w:rPr>
        <w:t>附件：1.项目报价表</w:t>
      </w:r>
    </w:p>
    <w:p>
      <w:pPr>
        <w:pageBreakBefore w:val="0"/>
        <w:kinsoku/>
        <w:wordWrap/>
        <w:overflowPunct/>
        <w:topLinePunct w:val="0"/>
        <w:autoSpaceDE/>
        <w:autoSpaceDN/>
        <w:bidi w:val="0"/>
        <w:adjustRightInd w:val="0"/>
        <w:snapToGrid w:val="0"/>
        <w:spacing w:line="500" w:lineRule="exact"/>
        <w:ind w:firstLine="0" w:firstLineChars="0"/>
        <w:textAlignment w:val="auto"/>
        <w:rPr>
          <w:rFonts w:hint="eastAsia" w:ascii="仿宋" w:hAnsi="仿宋" w:eastAsia="仿宋" w:cs="仿宋"/>
          <w:b w:val="0"/>
          <w:bCs w:val="0"/>
          <w:color w:val="000000"/>
          <w:sz w:val="28"/>
          <w:szCs w:val="28"/>
          <w:highlight w:val="none"/>
          <w:lang w:val="en-US" w:eastAsia="zh-CN"/>
        </w:rPr>
      </w:pPr>
      <w:r>
        <w:rPr>
          <w:rFonts w:hint="eastAsia" w:ascii="仿宋" w:hAnsi="仿宋" w:eastAsia="仿宋" w:cs="仿宋"/>
          <w:color w:val="auto"/>
          <w:kern w:val="21"/>
          <w:sz w:val="28"/>
          <w:szCs w:val="28"/>
          <w:highlight w:val="none"/>
          <w:lang w:val="en-US" w:eastAsia="zh-CN"/>
        </w:rPr>
        <w:t xml:space="preserve">          2.</w:t>
      </w:r>
      <w:r>
        <w:rPr>
          <w:rFonts w:hint="eastAsia" w:ascii="仿宋" w:hAnsi="仿宋" w:eastAsia="仿宋" w:cs="仿宋"/>
          <w:b w:val="0"/>
          <w:bCs w:val="0"/>
          <w:color w:val="000000"/>
          <w:sz w:val="28"/>
          <w:szCs w:val="28"/>
          <w:highlight w:val="none"/>
          <w:lang w:val="en-US" w:eastAsia="zh-CN"/>
        </w:rPr>
        <w:t>污水处理300元以下维修材料清单</w:t>
      </w:r>
    </w:p>
    <w:p>
      <w:pPr>
        <w:pStyle w:val="2"/>
        <w:rPr>
          <w:rFonts w:hint="eastAsia" w:ascii="仿宋" w:hAnsi="仿宋" w:eastAsia="仿宋" w:cs="仿宋"/>
          <w:b w:val="0"/>
          <w:bCs/>
          <w:sz w:val="28"/>
          <w:szCs w:val="28"/>
        </w:rPr>
      </w:pPr>
      <w:r>
        <w:rPr>
          <w:rFonts w:hint="eastAsia" w:ascii="仿宋" w:hAnsi="仿宋" w:eastAsia="仿宋" w:cs="仿宋"/>
          <w:b w:val="0"/>
          <w:bCs w:val="0"/>
          <w:color w:val="000000"/>
          <w:sz w:val="28"/>
          <w:szCs w:val="28"/>
          <w:highlight w:val="none"/>
          <w:lang w:val="en-US" w:eastAsia="zh-CN"/>
        </w:rPr>
        <w:t xml:space="preserve">      3.</w:t>
      </w:r>
      <w:r>
        <w:rPr>
          <w:rFonts w:hint="eastAsia" w:ascii="仿宋" w:hAnsi="仿宋" w:eastAsia="仿宋" w:cs="仿宋"/>
          <w:b w:val="0"/>
          <w:bCs/>
          <w:sz w:val="28"/>
          <w:szCs w:val="28"/>
        </w:rPr>
        <w:t>污水处理运营管理服务月度质量考核表</w:t>
      </w:r>
    </w:p>
    <w:p>
      <w:pPr>
        <w:rPr>
          <w:rFonts w:hint="eastAsia" w:ascii="仿宋" w:hAnsi="仿宋" w:eastAsia="仿宋" w:cs="仿宋"/>
          <w:b w:val="0"/>
          <w:bCs/>
          <w:sz w:val="28"/>
          <w:szCs w:val="28"/>
        </w:rPr>
      </w:pPr>
      <w:r>
        <w:rPr>
          <w:rFonts w:hint="eastAsia" w:ascii="仿宋" w:hAnsi="仿宋" w:eastAsia="仿宋" w:cs="仿宋"/>
          <w:b w:val="0"/>
          <w:bCs/>
          <w:sz w:val="28"/>
          <w:szCs w:val="28"/>
        </w:rPr>
        <w:br w:type="page"/>
      </w:r>
    </w:p>
    <w:p>
      <w:pPr>
        <w:pStyle w:val="4"/>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Autospacing="0" w:line="500" w:lineRule="exact"/>
        <w:ind w:left="0" w:leftChars="0" w:right="0" w:firstLine="0" w:firstLineChars="0"/>
        <w:jc w:val="left"/>
        <w:textAlignment w:val="auto"/>
        <w:rPr>
          <w:rFonts w:hint="eastAsia"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附件1：项目</w:t>
      </w:r>
      <w:r>
        <w:rPr>
          <w:rFonts w:hint="eastAsia" w:ascii="仿宋" w:hAnsi="仿宋" w:eastAsia="仿宋" w:cs="仿宋"/>
          <w:sz w:val="28"/>
          <w:szCs w:val="28"/>
          <w:highlight w:val="none"/>
          <w:lang w:val="en-US" w:eastAsia="zh-CN"/>
        </w:rPr>
        <w:t>报价表</w:t>
      </w:r>
    </w:p>
    <w:tbl>
      <w:tblPr>
        <w:tblStyle w:val="12"/>
        <w:tblW w:w="9985" w:type="dxa"/>
        <w:jc w:val="center"/>
        <w:tblLayout w:type="fixed"/>
        <w:tblCellMar>
          <w:top w:w="0" w:type="dxa"/>
          <w:left w:w="108" w:type="dxa"/>
          <w:bottom w:w="0" w:type="dxa"/>
          <w:right w:w="108" w:type="dxa"/>
        </w:tblCellMar>
      </w:tblPr>
      <w:tblGrid>
        <w:gridCol w:w="1119"/>
        <w:gridCol w:w="1546"/>
        <w:gridCol w:w="4170"/>
        <w:gridCol w:w="617"/>
        <w:gridCol w:w="715"/>
        <w:gridCol w:w="838"/>
        <w:gridCol w:w="980"/>
      </w:tblGrid>
      <w:tr>
        <w:tblPrEx>
          <w:tblCellMar>
            <w:top w:w="0" w:type="dxa"/>
            <w:left w:w="108" w:type="dxa"/>
            <w:bottom w:w="0" w:type="dxa"/>
            <w:right w:w="108" w:type="dxa"/>
          </w:tblCellMar>
        </w:tblPrEx>
        <w:trPr>
          <w:trHeight w:val="331" w:hRule="atLeast"/>
          <w:jc w:val="center"/>
        </w:trPr>
        <w:tc>
          <w:tcPr>
            <w:tcW w:w="1119"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546" w:type="dxa"/>
            <w:tcBorders>
              <w:top w:val="single" w:color="auto" w:sz="4" w:space="0"/>
              <w:left w:val="nil"/>
              <w:bottom w:val="single" w:color="auto" w:sz="4" w:space="0"/>
              <w:right w:val="single" w:color="auto" w:sz="4" w:space="0"/>
            </w:tcBorders>
            <w:shd w:val="clear" w:color="auto" w:fill="EEECE1"/>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费用项目</w:t>
            </w:r>
          </w:p>
        </w:tc>
        <w:tc>
          <w:tcPr>
            <w:tcW w:w="4170" w:type="dxa"/>
            <w:tcBorders>
              <w:top w:val="single" w:color="auto" w:sz="4" w:space="0"/>
              <w:left w:val="nil"/>
              <w:bottom w:val="single" w:color="auto" w:sz="4" w:space="0"/>
              <w:right w:val="single" w:color="auto" w:sz="4" w:space="0"/>
            </w:tcBorders>
            <w:shd w:val="clear" w:color="auto" w:fill="EEECE1"/>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内容</w:t>
            </w:r>
          </w:p>
        </w:tc>
        <w:tc>
          <w:tcPr>
            <w:tcW w:w="617" w:type="dxa"/>
            <w:tcBorders>
              <w:top w:val="single" w:color="auto" w:sz="4" w:space="0"/>
              <w:left w:val="nil"/>
              <w:bottom w:val="single" w:color="auto" w:sz="4" w:space="0"/>
              <w:right w:val="single" w:color="auto" w:sz="4" w:space="0"/>
            </w:tcBorders>
            <w:shd w:val="clear" w:color="auto" w:fill="EEECE1"/>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数量</w:t>
            </w:r>
          </w:p>
        </w:tc>
        <w:tc>
          <w:tcPr>
            <w:tcW w:w="715" w:type="dxa"/>
            <w:tcBorders>
              <w:top w:val="single" w:color="auto" w:sz="4" w:space="0"/>
              <w:left w:val="nil"/>
              <w:bottom w:val="single" w:color="auto" w:sz="4" w:space="0"/>
              <w:right w:val="single" w:color="auto" w:sz="4" w:space="0"/>
            </w:tcBorders>
            <w:shd w:val="clear" w:color="auto" w:fill="EEECE1"/>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单位</w:t>
            </w:r>
          </w:p>
        </w:tc>
        <w:tc>
          <w:tcPr>
            <w:tcW w:w="838" w:type="dxa"/>
            <w:tcBorders>
              <w:top w:val="single" w:color="auto" w:sz="4" w:space="0"/>
              <w:left w:val="nil"/>
              <w:bottom w:val="single" w:color="auto" w:sz="4" w:space="0"/>
              <w:right w:val="single" w:color="auto" w:sz="4" w:space="0"/>
            </w:tcBorders>
            <w:shd w:val="clear" w:color="auto" w:fill="EEECE1"/>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单价（元）</w:t>
            </w:r>
          </w:p>
        </w:tc>
        <w:tc>
          <w:tcPr>
            <w:tcW w:w="980" w:type="dxa"/>
            <w:tcBorders>
              <w:top w:val="single" w:color="auto" w:sz="4" w:space="0"/>
              <w:left w:val="nil"/>
              <w:bottom w:val="single" w:color="auto" w:sz="4" w:space="0"/>
              <w:right w:val="single" w:color="auto" w:sz="4" w:space="0"/>
            </w:tcBorders>
            <w:shd w:val="clear" w:color="auto" w:fill="EEECE1"/>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一年费用（元）</w:t>
            </w:r>
          </w:p>
        </w:tc>
      </w:tr>
      <w:tr>
        <w:tblPrEx>
          <w:tblCellMar>
            <w:top w:w="0" w:type="dxa"/>
            <w:left w:w="108" w:type="dxa"/>
            <w:bottom w:w="0" w:type="dxa"/>
            <w:right w:w="108" w:type="dxa"/>
          </w:tblCellMar>
        </w:tblPrEx>
        <w:trPr>
          <w:trHeight w:val="347" w:hRule="atLeast"/>
          <w:jc w:val="center"/>
        </w:trPr>
        <w:tc>
          <w:tcPr>
            <w:tcW w:w="1119" w:type="dxa"/>
            <w:vMerge w:val="restart"/>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1、污水站人员管理费（总污水站及制剂室污水站）</w:t>
            </w:r>
          </w:p>
        </w:tc>
        <w:tc>
          <w:tcPr>
            <w:tcW w:w="1546" w:type="dxa"/>
            <w:vMerge w:val="restart"/>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人工费</w:t>
            </w:r>
          </w:p>
        </w:tc>
        <w:tc>
          <w:tcPr>
            <w:tcW w:w="417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驻场污水操作工</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人</w:t>
            </w:r>
          </w:p>
        </w:tc>
        <w:tc>
          <w:tcPr>
            <w:tcW w:w="838"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47"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vMerge w:val="continue"/>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417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机动自动监测运行工</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人</w:t>
            </w:r>
          </w:p>
        </w:tc>
        <w:tc>
          <w:tcPr>
            <w:tcW w:w="838"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vMerge w:val="restart"/>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劳保费</w:t>
            </w:r>
          </w:p>
        </w:tc>
        <w:tc>
          <w:tcPr>
            <w:tcW w:w="417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胶手套</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100</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双</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9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rPr>
            </w:pPr>
          </w:p>
        </w:tc>
        <w:tc>
          <w:tcPr>
            <w:tcW w:w="1546"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rPr>
            </w:pPr>
          </w:p>
        </w:tc>
        <w:tc>
          <w:tcPr>
            <w:tcW w:w="417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劳保鞋</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双</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rPr>
            </w:pPr>
          </w:p>
        </w:tc>
        <w:tc>
          <w:tcPr>
            <w:tcW w:w="1546"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rPr>
            </w:pPr>
          </w:p>
        </w:tc>
        <w:tc>
          <w:tcPr>
            <w:tcW w:w="417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工作服</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套</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9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设备、管道维修维护保养费</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对所有的水泵、罗茨风机、MBR膜、加药设备、管道、仪表、电控柜、喷淋塔废气处理设备、曝气系统、填料斜管等维修及保养。</w:t>
            </w:r>
          </w:p>
        </w:tc>
        <w:tc>
          <w:tcPr>
            <w:tcW w:w="61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7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月</w:t>
            </w:r>
          </w:p>
        </w:tc>
        <w:tc>
          <w:tcPr>
            <w:tcW w:w="8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污泥处理费</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危险废物包含格栅垃圾处理和污泥处理费，污泥通过叠螺机进行污泥脱水处理,污泥和格栅垃圾作为危废交由有资质的第三公司进行收运处置并取得合同和处置联单，</w:t>
            </w:r>
            <w:r>
              <w:rPr>
                <w:rFonts w:hint="eastAsia" w:ascii="仿宋" w:hAnsi="仿宋" w:eastAsia="仿宋" w:cs="仿宋"/>
                <w:sz w:val="24"/>
                <w:szCs w:val="24"/>
                <w:highlight w:val="none"/>
              </w:rPr>
              <w:t>并在危废平台进行申报，</w:t>
            </w:r>
            <w:r>
              <w:rPr>
                <w:rFonts w:hint="eastAsia" w:ascii="仿宋" w:hAnsi="仿宋" w:eastAsia="仿宋" w:cs="仿宋"/>
                <w:bCs/>
                <w:sz w:val="24"/>
                <w:szCs w:val="24"/>
                <w:highlight w:val="none"/>
              </w:rPr>
              <w:t>费用全包。</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月</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556" w:hRule="atLeast"/>
          <w:jc w:val="center"/>
        </w:trPr>
        <w:tc>
          <w:tcPr>
            <w:tcW w:w="1119" w:type="dxa"/>
            <w:vMerge w:val="restart"/>
            <w:tcBorders>
              <w:top w:val="nil"/>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2、药剂费（总污水站）</w:t>
            </w: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活性氧消毒粉</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污水站设计量为1000m</w:t>
            </w:r>
            <w:r>
              <w:rPr>
                <w:rFonts w:hint="eastAsia" w:ascii="仿宋" w:hAnsi="仿宋" w:eastAsia="仿宋" w:cs="仿宋"/>
                <w:bCs/>
                <w:sz w:val="24"/>
                <w:szCs w:val="24"/>
                <w:highlight w:val="none"/>
                <w:vertAlign w:val="superscript"/>
              </w:rPr>
              <w:t>³</w:t>
            </w:r>
            <w:r>
              <w:rPr>
                <w:rFonts w:hint="eastAsia" w:ascii="仿宋" w:hAnsi="仿宋" w:eastAsia="仿宋" w:cs="仿宋"/>
                <w:bCs/>
                <w:sz w:val="24"/>
                <w:szCs w:val="24"/>
                <w:highlight w:val="none"/>
              </w:rPr>
              <w:t>/d，具体根据实际水量进行增减。</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2500</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公斤</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PAC（聚合氯化铝）</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规格：25kg/袋</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144</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袋</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PAM+（聚丙烯酰胺阳离子）</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规格：25kg/袋</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48</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袋</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PAM-（聚丙烯酰胺阴离子）</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规格：25kg/袋</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48</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袋</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479"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硫酸亚铁</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规格：25kg/袋</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60</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袋</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NaOH（氢氧化钠）</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规格：25kg/袋</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60</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袋</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1195" w:hRule="atLeast"/>
          <w:jc w:val="center"/>
        </w:trPr>
        <w:tc>
          <w:tcPr>
            <w:tcW w:w="1119"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3、药剂费（制剂室污水站）</w:t>
            </w: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活性氧消毒粉</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污水站设置为两套，设计量为30m³/d+20m³/d，处理量为6m³/d，具体根据实际水量进行增减。</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365</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公斤</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restart"/>
            <w:tcBorders>
              <w:top w:val="nil"/>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4、检测费用（总污水站）</w:t>
            </w: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化学需氧量（COD）</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1次/周</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54</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次</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悬浮物（SS）</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1次/周</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54</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次 </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粪大肠菌群数</w:t>
            </w:r>
            <w:r>
              <w:rPr>
                <w:rFonts w:hint="eastAsia" w:ascii="仿宋" w:hAnsi="仿宋" w:eastAsia="仿宋" w:cs="仿宋"/>
                <w:bCs/>
                <w:sz w:val="24"/>
                <w:szCs w:val="24"/>
                <w:highlight w:val="none"/>
                <w:lang w:eastAsia="zh-CN"/>
              </w:rPr>
              <w:t>、</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1次/月</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次</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沙门氏菌、志贺氏菌、五日生化需氧量、阴离子表面活性剂、石油类、动植物油、总氰化物、挥发酚</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1次/季度</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次 </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污水站周界废气（甲烷、臭气浓度、氨（氨气）、氯气、硫化氢）</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4点4次/年（1次/季度）</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次</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污水站废气排放口废气（臭气浓度、氨（氨气）、硫化氢）</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4点4次/年（1次/季度）</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次</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厂界废气（臭气浓度、氨（氨气）、硫化氢、总挥发性有机物）</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1次/年</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次</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厂区内废气（非甲烷总烃、非甲烷总烃）</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kern w:val="2"/>
                <w:sz w:val="24"/>
                <w:szCs w:val="24"/>
                <w:highlight w:val="none"/>
              </w:rPr>
              <w:t>监控点处任意1次浓度值和监控点处1h平均浓度值</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次</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噪声检测（昼间/夜间）</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4点4次/年（1次/季度）</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次</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499" w:hRule="atLeast"/>
          <w:jc w:val="center"/>
        </w:trPr>
        <w:tc>
          <w:tcPr>
            <w:tcW w:w="1119" w:type="dxa"/>
            <w:vMerge w:val="restart"/>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5、检测费用（制剂室污水站）</w:t>
            </w: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粪大肠菌群数</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1次/月</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次</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5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沙门氏菌</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1次/季度</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次</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42" w:hRule="atLeast"/>
          <w:jc w:val="center"/>
        </w:trPr>
        <w:tc>
          <w:tcPr>
            <w:tcW w:w="1119" w:type="dxa"/>
            <w:vMerge w:val="continue"/>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志贺氏菌</w:t>
            </w:r>
          </w:p>
          <w:p>
            <w:pPr>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rPr>
            </w:pP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1次/季度</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次 </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6、证后管理费用（总污水站）</w:t>
            </w:r>
          </w:p>
        </w:tc>
        <w:tc>
          <w:tcPr>
            <w:tcW w:w="154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排污许可证证后管理</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（每天录入数据、自行监测方案、监测因子、环境管理台账、执行报告、污水废气噪声检测报告、信息公开、信息披露）</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月</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7、在线监测设备试剂及运维校准费用（总污水站）</w:t>
            </w:r>
          </w:p>
        </w:tc>
        <w:tc>
          <w:tcPr>
            <w:tcW w:w="154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在线监测设备试剂费用</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COD、SS、PH、余氯、流量计</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月</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在线监测设备运维及验收校准费用</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COD、SS、PH、余氯、流量计</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月</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45" w:hRule="atLeast"/>
          <w:jc w:val="center"/>
        </w:trPr>
        <w:tc>
          <w:tcPr>
            <w:tcW w:w="1119"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8</w:t>
            </w: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其它费用（如有可补充）</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9</w:t>
            </w: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公司管理费</w:t>
            </w:r>
          </w:p>
        </w:tc>
        <w:tc>
          <w:tcPr>
            <w:tcW w:w="5502" w:type="dxa"/>
            <w:gridSpan w:val="3"/>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rPr>
            </w:pP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w:t>
            </w: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08" w:hRule="atLeast"/>
          <w:jc w:val="center"/>
        </w:trPr>
        <w:tc>
          <w:tcPr>
            <w:tcW w:w="1119"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10</w:t>
            </w: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税金</w:t>
            </w:r>
          </w:p>
        </w:tc>
        <w:tc>
          <w:tcPr>
            <w:tcW w:w="5502" w:type="dxa"/>
            <w:gridSpan w:val="3"/>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w:t>
            </w: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35" w:hRule="atLeast"/>
          <w:jc w:val="center"/>
        </w:trPr>
        <w:tc>
          <w:tcPr>
            <w:tcW w:w="1119"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1</w:t>
            </w:r>
            <w:r>
              <w:rPr>
                <w:rFonts w:hint="eastAsia" w:ascii="仿宋" w:hAnsi="仿宋" w:eastAsia="仿宋" w:cs="仿宋"/>
                <w:bCs/>
                <w:sz w:val="24"/>
                <w:szCs w:val="24"/>
                <w:highlight w:val="none"/>
                <w:lang w:val="en-US" w:eastAsia="zh-CN"/>
              </w:rPr>
              <w:t>1</w:t>
            </w:r>
          </w:p>
        </w:tc>
        <w:tc>
          <w:tcPr>
            <w:tcW w:w="1546"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一年</w:t>
            </w:r>
            <w:r>
              <w:rPr>
                <w:rFonts w:hint="eastAsia" w:ascii="仿宋" w:hAnsi="仿宋" w:eastAsia="仿宋" w:cs="仿宋"/>
                <w:bCs/>
                <w:sz w:val="24"/>
                <w:szCs w:val="24"/>
                <w:highlight w:val="none"/>
                <w:lang w:val="en-US" w:eastAsia="zh-CN"/>
              </w:rPr>
              <w:t>总费用合计</w:t>
            </w:r>
          </w:p>
        </w:tc>
        <w:tc>
          <w:tcPr>
            <w:tcW w:w="7320"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635" w:hRule="atLeast"/>
          <w:jc w:val="center"/>
        </w:trPr>
        <w:tc>
          <w:tcPr>
            <w:tcW w:w="9985" w:type="dxa"/>
            <w:gridSpan w:val="7"/>
            <w:tcBorders>
              <w:top w:val="single" w:color="auto" w:sz="4" w:space="0"/>
              <w:left w:val="single" w:color="auto" w:sz="4" w:space="0"/>
              <w:bottom w:val="single" w:color="000000"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注：1.制剂室污水处理系统根据实际污水排放量以及药物试剂产量情况进行结算</w:t>
            </w:r>
          </w:p>
        </w:tc>
      </w:tr>
      <w:tr>
        <w:tblPrEx>
          <w:tblCellMar>
            <w:top w:w="0" w:type="dxa"/>
            <w:left w:w="108" w:type="dxa"/>
            <w:bottom w:w="0" w:type="dxa"/>
            <w:right w:w="108" w:type="dxa"/>
          </w:tblCellMar>
        </w:tblPrEx>
        <w:trPr>
          <w:trHeight w:val="331" w:hRule="atLeast"/>
          <w:jc w:val="center"/>
        </w:trPr>
        <w:tc>
          <w:tcPr>
            <w:tcW w:w="1119" w:type="dxa"/>
            <w:tcBorders>
              <w:top w:val="single" w:color="auto" w:sz="4" w:space="0"/>
              <w:left w:val="single" w:color="auto" w:sz="4" w:space="0"/>
              <w:bottom w:val="single" w:color="auto" w:sz="4" w:space="0"/>
              <w:right w:val="single" w:color="auto" w:sz="4" w:space="0"/>
            </w:tcBorders>
            <w:shd w:val="clear" w:color="auto" w:fill="EEECE1"/>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序号</w:t>
            </w:r>
          </w:p>
        </w:tc>
        <w:tc>
          <w:tcPr>
            <w:tcW w:w="1546" w:type="dxa"/>
            <w:tcBorders>
              <w:top w:val="single" w:color="auto" w:sz="4" w:space="0"/>
              <w:left w:val="nil"/>
              <w:bottom w:val="single" w:color="auto" w:sz="4" w:space="0"/>
              <w:right w:val="single" w:color="auto" w:sz="4" w:space="0"/>
            </w:tcBorders>
            <w:shd w:val="clear" w:color="auto" w:fill="EEECE1"/>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费用项目</w:t>
            </w:r>
          </w:p>
        </w:tc>
        <w:tc>
          <w:tcPr>
            <w:tcW w:w="4170" w:type="dxa"/>
            <w:tcBorders>
              <w:top w:val="single" w:color="auto" w:sz="4" w:space="0"/>
              <w:left w:val="nil"/>
              <w:bottom w:val="single" w:color="auto" w:sz="4" w:space="0"/>
              <w:right w:val="single" w:color="auto" w:sz="4" w:space="0"/>
            </w:tcBorders>
            <w:shd w:val="clear" w:color="auto" w:fill="EEECE1"/>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内容</w:t>
            </w:r>
          </w:p>
        </w:tc>
        <w:tc>
          <w:tcPr>
            <w:tcW w:w="617" w:type="dxa"/>
            <w:tcBorders>
              <w:top w:val="single" w:color="auto" w:sz="4" w:space="0"/>
              <w:left w:val="nil"/>
              <w:bottom w:val="single" w:color="auto" w:sz="4" w:space="0"/>
              <w:right w:val="single" w:color="auto" w:sz="4" w:space="0"/>
            </w:tcBorders>
            <w:shd w:val="clear" w:color="auto" w:fill="EEECE1"/>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数量</w:t>
            </w:r>
          </w:p>
        </w:tc>
        <w:tc>
          <w:tcPr>
            <w:tcW w:w="715" w:type="dxa"/>
            <w:tcBorders>
              <w:top w:val="single" w:color="auto" w:sz="4" w:space="0"/>
              <w:left w:val="nil"/>
              <w:bottom w:val="single" w:color="auto" w:sz="4" w:space="0"/>
              <w:right w:val="single" w:color="auto" w:sz="4" w:space="0"/>
            </w:tcBorders>
            <w:shd w:val="clear" w:color="auto" w:fill="EEECE1"/>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单位</w:t>
            </w:r>
          </w:p>
        </w:tc>
        <w:tc>
          <w:tcPr>
            <w:tcW w:w="838" w:type="dxa"/>
            <w:tcBorders>
              <w:top w:val="single" w:color="auto" w:sz="4" w:space="0"/>
              <w:left w:val="nil"/>
              <w:bottom w:val="single" w:color="auto" w:sz="4" w:space="0"/>
              <w:right w:val="single" w:color="auto" w:sz="4" w:space="0"/>
            </w:tcBorders>
            <w:shd w:val="clear" w:color="auto" w:fill="EEECE1"/>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单价（元）</w:t>
            </w:r>
          </w:p>
        </w:tc>
        <w:tc>
          <w:tcPr>
            <w:tcW w:w="980" w:type="dxa"/>
            <w:tcBorders>
              <w:top w:val="single" w:color="auto" w:sz="4" w:space="0"/>
              <w:left w:val="nil"/>
              <w:bottom w:val="single" w:color="auto" w:sz="4" w:space="0"/>
              <w:right w:val="single" w:color="auto" w:sz="4" w:space="0"/>
            </w:tcBorders>
            <w:shd w:val="clear" w:color="auto" w:fill="EEECE1"/>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
                <w:sz w:val="24"/>
                <w:szCs w:val="24"/>
                <w:highlight w:val="none"/>
              </w:rPr>
            </w:pPr>
            <w:r>
              <w:rPr>
                <w:rFonts w:hint="eastAsia" w:ascii="仿宋" w:hAnsi="仿宋" w:eastAsia="仿宋" w:cs="仿宋"/>
                <w:b/>
                <w:sz w:val="24"/>
                <w:szCs w:val="24"/>
                <w:highlight w:val="none"/>
              </w:rPr>
              <w:t>一年费用（元）</w:t>
            </w:r>
          </w:p>
        </w:tc>
      </w:tr>
      <w:tr>
        <w:tblPrEx>
          <w:tblCellMar>
            <w:top w:w="0" w:type="dxa"/>
            <w:left w:w="108" w:type="dxa"/>
            <w:bottom w:w="0" w:type="dxa"/>
            <w:right w:w="108" w:type="dxa"/>
          </w:tblCellMar>
        </w:tblPrEx>
        <w:trPr>
          <w:trHeight w:val="347" w:hRule="atLeast"/>
          <w:jc w:val="center"/>
        </w:trPr>
        <w:tc>
          <w:tcPr>
            <w:tcW w:w="1119" w:type="dxa"/>
            <w:vMerge w:val="restart"/>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污水站人员管理费（总污水站及制剂室污水站）</w:t>
            </w:r>
          </w:p>
        </w:tc>
        <w:tc>
          <w:tcPr>
            <w:tcW w:w="1546" w:type="dxa"/>
            <w:vMerge w:val="restart"/>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人工费</w:t>
            </w:r>
          </w:p>
        </w:tc>
        <w:tc>
          <w:tcPr>
            <w:tcW w:w="417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驻场污水操作工</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人</w:t>
            </w:r>
          </w:p>
        </w:tc>
        <w:tc>
          <w:tcPr>
            <w:tcW w:w="838"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47"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vMerge w:val="continue"/>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417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机动自动监测运行工</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人</w:t>
            </w:r>
          </w:p>
        </w:tc>
        <w:tc>
          <w:tcPr>
            <w:tcW w:w="838"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vMerge w:val="restart"/>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劳保费</w:t>
            </w:r>
          </w:p>
        </w:tc>
        <w:tc>
          <w:tcPr>
            <w:tcW w:w="417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胶手套</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100</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双</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9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rPr>
            </w:pPr>
          </w:p>
        </w:tc>
        <w:tc>
          <w:tcPr>
            <w:tcW w:w="1546"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rPr>
            </w:pPr>
          </w:p>
        </w:tc>
        <w:tc>
          <w:tcPr>
            <w:tcW w:w="417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劳保鞋</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双</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rPr>
            </w:pPr>
          </w:p>
        </w:tc>
        <w:tc>
          <w:tcPr>
            <w:tcW w:w="1546"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rPr>
            </w:pPr>
          </w:p>
        </w:tc>
        <w:tc>
          <w:tcPr>
            <w:tcW w:w="417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工作服</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套</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9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设备、管道维修维护保养费</w:t>
            </w:r>
          </w:p>
        </w:tc>
        <w:tc>
          <w:tcPr>
            <w:tcW w:w="41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对所有的水泵、罗茨风机、MBR膜、加药设备、管道、仪表、电控柜、喷淋塔废气处理设备、曝气系统、填料斜管等维修及保养。</w:t>
            </w:r>
          </w:p>
        </w:tc>
        <w:tc>
          <w:tcPr>
            <w:tcW w:w="617"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71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月</w:t>
            </w:r>
          </w:p>
        </w:tc>
        <w:tc>
          <w:tcPr>
            <w:tcW w:w="838"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污泥处理费</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危险废物包含格栅垃圾处理和污泥处理费，污泥通过叠螺机进行污泥脱水处理,污泥和格栅垃圾作为危废交由有资质的第三公司进行收运处置并取得合同和处置联单，</w:t>
            </w:r>
            <w:r>
              <w:rPr>
                <w:rFonts w:hint="eastAsia" w:ascii="仿宋" w:hAnsi="仿宋" w:eastAsia="仿宋" w:cs="仿宋"/>
                <w:sz w:val="24"/>
                <w:szCs w:val="24"/>
                <w:highlight w:val="none"/>
              </w:rPr>
              <w:t>并在危废平台进行申报，</w:t>
            </w:r>
            <w:r>
              <w:rPr>
                <w:rFonts w:hint="eastAsia" w:ascii="仿宋" w:hAnsi="仿宋" w:eastAsia="仿宋" w:cs="仿宋"/>
                <w:bCs/>
                <w:sz w:val="24"/>
                <w:szCs w:val="24"/>
                <w:highlight w:val="none"/>
              </w:rPr>
              <w:t>费用全包。</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月</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9985" w:type="dxa"/>
            <w:gridSpan w:val="7"/>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南屏主院区</w:t>
            </w:r>
          </w:p>
        </w:tc>
      </w:tr>
      <w:tr>
        <w:tblPrEx>
          <w:tblCellMar>
            <w:top w:w="0" w:type="dxa"/>
            <w:left w:w="108" w:type="dxa"/>
            <w:bottom w:w="0" w:type="dxa"/>
            <w:right w:w="108" w:type="dxa"/>
          </w:tblCellMar>
        </w:tblPrEx>
        <w:trPr>
          <w:trHeight w:val="556" w:hRule="atLeast"/>
          <w:jc w:val="center"/>
        </w:trPr>
        <w:tc>
          <w:tcPr>
            <w:tcW w:w="1119" w:type="dxa"/>
            <w:vMerge w:val="restart"/>
            <w:tcBorders>
              <w:top w:val="nil"/>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1、</w:t>
            </w:r>
            <w:r>
              <w:rPr>
                <w:rFonts w:hint="eastAsia" w:ascii="仿宋" w:hAnsi="仿宋" w:eastAsia="仿宋" w:cs="仿宋"/>
                <w:bCs/>
                <w:sz w:val="24"/>
                <w:szCs w:val="24"/>
                <w:highlight w:val="none"/>
              </w:rPr>
              <w:t>药剂费（总污水站）</w:t>
            </w: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活性氧消毒粉</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污水站设计量为1000m</w:t>
            </w:r>
            <w:r>
              <w:rPr>
                <w:rFonts w:hint="eastAsia" w:ascii="仿宋" w:hAnsi="仿宋" w:eastAsia="仿宋" w:cs="仿宋"/>
                <w:bCs/>
                <w:sz w:val="24"/>
                <w:szCs w:val="24"/>
                <w:highlight w:val="none"/>
                <w:vertAlign w:val="superscript"/>
              </w:rPr>
              <w:t>³</w:t>
            </w:r>
            <w:r>
              <w:rPr>
                <w:rFonts w:hint="eastAsia" w:ascii="仿宋" w:hAnsi="仿宋" w:eastAsia="仿宋" w:cs="仿宋"/>
                <w:bCs/>
                <w:sz w:val="24"/>
                <w:szCs w:val="24"/>
                <w:highlight w:val="none"/>
              </w:rPr>
              <w:t>/d，具体根据实际水量进行增减。</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2500</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公斤</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9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PAC（聚合氯化铝）</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规格：25kg/袋</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144</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袋</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PAM+（聚丙烯酰胺阳离子）</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规格：25kg/袋</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48</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袋</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PAM-（聚丙烯酰胺阴离子）</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规格：25kg/袋</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48</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袋</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479"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硫酸亚铁</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规格：25kg/袋</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60</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袋</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NaOH（氢氧化钠）</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规格：25kg/袋</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60</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袋</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1195" w:hRule="atLeast"/>
          <w:jc w:val="center"/>
        </w:trPr>
        <w:tc>
          <w:tcPr>
            <w:tcW w:w="1119"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2、</w:t>
            </w:r>
            <w:r>
              <w:rPr>
                <w:rFonts w:hint="eastAsia" w:ascii="仿宋" w:hAnsi="仿宋" w:eastAsia="仿宋" w:cs="仿宋"/>
                <w:bCs/>
                <w:sz w:val="24"/>
                <w:szCs w:val="24"/>
                <w:highlight w:val="none"/>
              </w:rPr>
              <w:t>药剂费（制剂室污水站）</w:t>
            </w: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活性氧消毒粉</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污水站设置为两套，设计量为30m³/d+20m³/d，处理量为6m³/d，具体根据实际水量进行增减。</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365</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公斤</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restart"/>
            <w:tcBorders>
              <w:top w:val="nil"/>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3、</w:t>
            </w:r>
            <w:r>
              <w:rPr>
                <w:rFonts w:hint="eastAsia" w:ascii="仿宋" w:hAnsi="仿宋" w:eastAsia="仿宋" w:cs="仿宋"/>
                <w:bCs/>
                <w:sz w:val="24"/>
                <w:szCs w:val="24"/>
                <w:highlight w:val="none"/>
              </w:rPr>
              <w:t>检测费用（总污水站）</w:t>
            </w: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化学需氧量（COD）</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1次/周</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54</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次</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悬浮物（SS）</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1次/周</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54</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次 </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粪大肠菌群数</w:t>
            </w:r>
            <w:r>
              <w:rPr>
                <w:rFonts w:hint="eastAsia" w:ascii="仿宋" w:hAnsi="仿宋" w:eastAsia="仿宋" w:cs="仿宋"/>
                <w:bCs/>
                <w:sz w:val="24"/>
                <w:szCs w:val="24"/>
                <w:highlight w:val="none"/>
                <w:lang w:eastAsia="zh-CN"/>
              </w:rPr>
              <w:t>、</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1次/月</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次</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沙门氏菌、志贺氏菌、五日生化需氧量、阴离子表面活性剂、石油类、动植物油、总氰化物、挥发酚</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1次/季度</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次 </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污水站周界废气（甲烷、臭气浓度、氨（氨气）、氯气、硫化氢）</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4点4次/年（1次/季度）</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次</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污水站废气排放口废气（臭气浓度、氨（氨气）、硫化氢）</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4点4次/年（1次/季度）</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次</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厂界废气（臭气浓度、氨（氨气）、硫化氢、总挥发性有机物）</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1次/年</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次</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厂区内废气（非甲烷总烃、非甲烷总烃）</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kern w:val="2"/>
                <w:sz w:val="24"/>
                <w:szCs w:val="24"/>
                <w:highlight w:val="none"/>
              </w:rPr>
              <w:t>监控点处任意1次浓度值和监控点处1h平均浓度值</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次</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噪声检测（昼间/夜间）</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4点4次/年（1次/季度）</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次</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499" w:hRule="atLeast"/>
          <w:jc w:val="center"/>
        </w:trPr>
        <w:tc>
          <w:tcPr>
            <w:tcW w:w="1119" w:type="dxa"/>
            <w:vMerge w:val="restart"/>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4</w:t>
            </w:r>
            <w:r>
              <w:rPr>
                <w:rFonts w:hint="eastAsia" w:ascii="仿宋" w:hAnsi="仿宋" w:eastAsia="仿宋" w:cs="仿宋"/>
                <w:bCs/>
                <w:sz w:val="24"/>
                <w:szCs w:val="24"/>
                <w:highlight w:val="none"/>
              </w:rPr>
              <w:t>、检测费用（制剂室污水站）</w:t>
            </w: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粪大肠菌群数</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1次/月</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次</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560"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沙门氏菌</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bookmarkStart w:id="10" w:name="OLE_LINK1"/>
            <w:r>
              <w:rPr>
                <w:rFonts w:hint="eastAsia" w:ascii="仿宋" w:hAnsi="仿宋" w:eastAsia="仿宋" w:cs="仿宋"/>
                <w:bCs/>
                <w:sz w:val="24"/>
                <w:szCs w:val="24"/>
                <w:highlight w:val="none"/>
              </w:rPr>
              <w:t>1次/季度</w:t>
            </w:r>
            <w:bookmarkEnd w:id="10"/>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次</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42" w:hRule="atLeast"/>
          <w:jc w:val="center"/>
        </w:trPr>
        <w:tc>
          <w:tcPr>
            <w:tcW w:w="1119" w:type="dxa"/>
            <w:vMerge w:val="continue"/>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志贺氏菌</w:t>
            </w:r>
          </w:p>
          <w:p>
            <w:pPr>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rPr>
            </w:pP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1次/季度</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4</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xml:space="preserve">次 </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5</w:t>
            </w:r>
            <w:r>
              <w:rPr>
                <w:rFonts w:hint="eastAsia" w:ascii="仿宋" w:hAnsi="仿宋" w:eastAsia="仿宋" w:cs="仿宋"/>
                <w:bCs/>
                <w:sz w:val="24"/>
                <w:szCs w:val="24"/>
                <w:highlight w:val="none"/>
              </w:rPr>
              <w:t>、证后管理费用（总污水站）</w:t>
            </w:r>
          </w:p>
        </w:tc>
        <w:tc>
          <w:tcPr>
            <w:tcW w:w="154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排污许可证证后管理</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（每天录入数据、自行监测方案、监测因子、环境管理台账、执行报告、污水废气噪声检测报告、信息公开、信息披露）</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月</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lang w:val="en-US" w:eastAsia="zh-CN"/>
              </w:rPr>
              <w:t>6</w:t>
            </w:r>
            <w:r>
              <w:rPr>
                <w:rFonts w:hint="eastAsia" w:ascii="仿宋" w:hAnsi="仿宋" w:eastAsia="仿宋" w:cs="仿宋"/>
                <w:bCs/>
                <w:sz w:val="24"/>
                <w:szCs w:val="24"/>
                <w:highlight w:val="none"/>
              </w:rPr>
              <w:t>、在线监测设备试剂及运维校准费用（总污水站）</w:t>
            </w:r>
          </w:p>
        </w:tc>
        <w:tc>
          <w:tcPr>
            <w:tcW w:w="154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在线监测设备试剂费用</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COD、SS、PH、余氯、流量计</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月</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vMerge w:val="continue"/>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在线监测设备运维及验收校准费用</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COD、SS、PH、余氯、流量计</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12</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月</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9985" w:type="dxa"/>
            <w:gridSpan w:val="7"/>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紫荆部和新村部</w:t>
            </w:r>
          </w:p>
        </w:tc>
      </w:tr>
      <w:tr>
        <w:tblPrEx>
          <w:tblCellMar>
            <w:top w:w="0" w:type="dxa"/>
            <w:left w:w="108" w:type="dxa"/>
            <w:bottom w:w="0" w:type="dxa"/>
            <w:right w:w="108" w:type="dxa"/>
          </w:tblCellMar>
        </w:tblPrEx>
        <w:trPr>
          <w:trHeight w:val="582" w:hRule="atLeast"/>
          <w:jc w:val="center"/>
        </w:trPr>
        <w:tc>
          <w:tcPr>
            <w:tcW w:w="1119" w:type="dxa"/>
            <w:vMerge w:val="restart"/>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污水站</w:t>
            </w: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活性氧消毒粉</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污水站设计量为100m</w:t>
            </w:r>
            <w:r>
              <w:rPr>
                <w:rFonts w:hint="eastAsia" w:ascii="仿宋" w:hAnsi="仿宋" w:eastAsia="仿宋" w:cs="仿宋"/>
                <w:bCs/>
                <w:sz w:val="24"/>
                <w:szCs w:val="24"/>
                <w:highlight w:val="none"/>
                <w:vertAlign w:val="superscript"/>
              </w:rPr>
              <w:t>³</w:t>
            </w:r>
            <w:r>
              <w:rPr>
                <w:rFonts w:hint="eastAsia" w:ascii="仿宋" w:hAnsi="仿宋" w:eastAsia="仿宋" w:cs="仿宋"/>
                <w:bCs/>
                <w:sz w:val="24"/>
                <w:szCs w:val="24"/>
                <w:highlight w:val="none"/>
              </w:rPr>
              <w:t>/d，具体根据实际水量进行增减。</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451"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lang w:val="en-US" w:eastAsia="zh-CN"/>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次氯酸钠</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lang w:val="en-US" w:eastAsia="zh-CN"/>
              </w:rPr>
            </w:pP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451" w:hRule="atLeast"/>
          <w:jc w:val="center"/>
        </w:trPr>
        <w:tc>
          <w:tcPr>
            <w:tcW w:w="1119"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lang w:val="en-US" w:eastAsia="zh-CN"/>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粪大肠菌群数</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1次/月</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default"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112</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rPr>
            </w:pPr>
          </w:p>
          <w:p>
            <w:pPr>
              <w:ind w:firstLine="0" w:firstLineChars="0"/>
              <w:jc w:val="both"/>
              <w:rPr>
                <w:rFonts w:hint="eastAsia" w:ascii="Times New Roman" w:hAnsi="Times New Roman" w:eastAsia="宋体" w:cs="Times New Roman"/>
                <w:kern w:val="2"/>
                <w:sz w:val="24"/>
                <w:lang w:val="en-US" w:eastAsia="zh-CN" w:bidi="ar-SA"/>
              </w:rPr>
            </w:pPr>
            <w:r>
              <w:rPr>
                <w:rFonts w:hint="eastAsia" w:cs="Times New Roman"/>
                <w:kern w:val="2"/>
                <w:sz w:val="24"/>
                <w:lang w:val="en-US" w:eastAsia="zh-CN" w:bidi="ar-SA"/>
              </w:rPr>
              <w:t>月</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451" w:hRule="atLeast"/>
          <w:jc w:val="center"/>
        </w:trPr>
        <w:tc>
          <w:tcPr>
            <w:tcW w:w="1119" w:type="dxa"/>
            <w:vMerge w:val="continue"/>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lang w:val="en-US" w:eastAsia="zh-CN"/>
              </w:rPr>
            </w:pP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肠道致病菌肠道病毒、化学需氧量、氨氮:pH值、悬浮物、五日生化需氧量、动植物油、石油类、阴离子表面活性剂、挥发酚、色度、总氰化物、总余氯</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1次/季度</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4</w:t>
            </w: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次</w:t>
            </w: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45" w:hRule="atLeast"/>
          <w:jc w:val="center"/>
        </w:trPr>
        <w:tc>
          <w:tcPr>
            <w:tcW w:w="1119" w:type="dxa"/>
            <w:tcBorders>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lang w:val="en-US" w:eastAsia="zh-CN"/>
              </w:rPr>
              <w:t>8</w:t>
            </w: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kern w:val="2"/>
                <w:sz w:val="24"/>
                <w:szCs w:val="24"/>
                <w:highlight w:val="none"/>
                <w:lang w:val="en-US" w:eastAsia="zh-CN" w:bidi="ar-SA"/>
              </w:rPr>
            </w:pPr>
            <w:r>
              <w:rPr>
                <w:rFonts w:hint="eastAsia" w:ascii="仿宋" w:hAnsi="仿宋" w:eastAsia="仿宋" w:cs="仿宋"/>
                <w:bCs/>
                <w:sz w:val="24"/>
                <w:szCs w:val="24"/>
                <w:highlight w:val="none"/>
                <w:lang w:val="en-US" w:eastAsia="zh-CN"/>
              </w:rPr>
              <w:t>其它费用（如有可补充）</w:t>
            </w:r>
          </w:p>
        </w:tc>
        <w:tc>
          <w:tcPr>
            <w:tcW w:w="4170"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w:t>
            </w:r>
          </w:p>
        </w:tc>
        <w:tc>
          <w:tcPr>
            <w:tcW w:w="617"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715"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60" w:hRule="atLeast"/>
          <w:jc w:val="center"/>
        </w:trPr>
        <w:tc>
          <w:tcPr>
            <w:tcW w:w="1119"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9</w:t>
            </w: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公司管理费</w:t>
            </w:r>
          </w:p>
        </w:tc>
        <w:tc>
          <w:tcPr>
            <w:tcW w:w="5502" w:type="dxa"/>
            <w:gridSpan w:val="3"/>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rPr>
            </w:pP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w:t>
            </w: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08" w:hRule="atLeast"/>
          <w:jc w:val="center"/>
        </w:trPr>
        <w:tc>
          <w:tcPr>
            <w:tcW w:w="1119"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10</w:t>
            </w:r>
          </w:p>
        </w:tc>
        <w:tc>
          <w:tcPr>
            <w:tcW w:w="1546"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税金</w:t>
            </w:r>
          </w:p>
        </w:tc>
        <w:tc>
          <w:tcPr>
            <w:tcW w:w="5502" w:type="dxa"/>
            <w:gridSpan w:val="3"/>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c>
          <w:tcPr>
            <w:tcW w:w="838"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textAlignment w:val="auto"/>
              <w:rPr>
                <w:rFonts w:hint="eastAsia" w:ascii="仿宋" w:hAnsi="仿宋" w:eastAsia="仿宋" w:cs="仿宋"/>
                <w:bCs/>
                <w:sz w:val="24"/>
                <w:szCs w:val="24"/>
                <w:highlight w:val="none"/>
              </w:rPr>
            </w:pPr>
            <w:r>
              <w:rPr>
                <w:rFonts w:hint="eastAsia" w:ascii="仿宋" w:hAnsi="仿宋" w:eastAsia="仿宋" w:cs="仿宋"/>
                <w:bCs/>
                <w:sz w:val="24"/>
                <w:szCs w:val="24"/>
                <w:highlight w:val="none"/>
              </w:rPr>
              <w:t>　</w:t>
            </w:r>
          </w:p>
        </w:tc>
        <w:tc>
          <w:tcPr>
            <w:tcW w:w="980" w:type="dxa"/>
            <w:tcBorders>
              <w:top w:val="nil"/>
              <w:left w:val="nil"/>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335" w:hRule="atLeast"/>
          <w:jc w:val="center"/>
        </w:trPr>
        <w:tc>
          <w:tcPr>
            <w:tcW w:w="1119"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1</w:t>
            </w:r>
            <w:r>
              <w:rPr>
                <w:rFonts w:hint="eastAsia" w:ascii="仿宋" w:hAnsi="仿宋" w:eastAsia="仿宋" w:cs="仿宋"/>
                <w:bCs/>
                <w:sz w:val="24"/>
                <w:szCs w:val="24"/>
                <w:highlight w:val="none"/>
                <w:lang w:val="en-US" w:eastAsia="zh-CN"/>
              </w:rPr>
              <w:t>1</w:t>
            </w:r>
          </w:p>
        </w:tc>
        <w:tc>
          <w:tcPr>
            <w:tcW w:w="1546"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ind w:firstLine="0" w:firstLineChars="0"/>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rPr>
              <w:t>一年</w:t>
            </w:r>
            <w:r>
              <w:rPr>
                <w:rFonts w:hint="eastAsia" w:ascii="仿宋" w:hAnsi="仿宋" w:eastAsia="仿宋" w:cs="仿宋"/>
                <w:bCs/>
                <w:sz w:val="24"/>
                <w:szCs w:val="24"/>
                <w:highlight w:val="none"/>
                <w:lang w:val="en-US" w:eastAsia="zh-CN"/>
              </w:rPr>
              <w:t>总费用合计</w:t>
            </w:r>
          </w:p>
        </w:tc>
        <w:tc>
          <w:tcPr>
            <w:tcW w:w="7320" w:type="dxa"/>
            <w:gridSpan w:val="5"/>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bCs/>
                <w:sz w:val="24"/>
                <w:szCs w:val="24"/>
                <w:highlight w:val="none"/>
              </w:rPr>
            </w:pPr>
          </w:p>
        </w:tc>
      </w:tr>
      <w:tr>
        <w:tblPrEx>
          <w:tblCellMar>
            <w:top w:w="0" w:type="dxa"/>
            <w:left w:w="108" w:type="dxa"/>
            <w:bottom w:w="0" w:type="dxa"/>
            <w:right w:w="108" w:type="dxa"/>
          </w:tblCellMar>
        </w:tblPrEx>
        <w:trPr>
          <w:trHeight w:val="635" w:hRule="atLeast"/>
          <w:jc w:val="center"/>
        </w:trPr>
        <w:tc>
          <w:tcPr>
            <w:tcW w:w="9985" w:type="dxa"/>
            <w:gridSpan w:val="7"/>
            <w:tcBorders>
              <w:top w:val="single" w:color="auto" w:sz="4" w:space="0"/>
              <w:left w:val="single" w:color="auto" w:sz="4" w:space="0"/>
              <w:bottom w:val="single" w:color="000000" w:sz="4" w:space="0"/>
              <w:right w:val="single" w:color="auto" w:sz="4" w:space="0"/>
            </w:tcBorders>
            <w:noWrap w:val="0"/>
            <w:vAlign w:val="center"/>
          </w:tcPr>
          <w:p>
            <w:pPr>
              <w:pageBreakBefore w:val="0"/>
              <w:kinsoku/>
              <w:wordWrap/>
              <w:overflowPunct/>
              <w:topLinePunct w:val="0"/>
              <w:autoSpaceDE/>
              <w:autoSpaceDN/>
              <w:bidi w:val="0"/>
              <w:adjustRightInd w:val="0"/>
              <w:snapToGrid w:val="0"/>
              <w:spacing w:line="240" w:lineRule="auto"/>
              <w:jc w:val="both"/>
              <w:textAlignment w:val="auto"/>
              <w:rPr>
                <w:rFonts w:hint="eastAsia" w:ascii="仿宋" w:hAnsi="仿宋" w:eastAsia="仿宋" w:cs="仿宋"/>
                <w:bCs/>
                <w:sz w:val="24"/>
                <w:szCs w:val="24"/>
                <w:highlight w:val="none"/>
                <w:lang w:val="en-US" w:eastAsia="zh-CN"/>
              </w:rPr>
            </w:pPr>
            <w:r>
              <w:rPr>
                <w:rFonts w:hint="eastAsia" w:ascii="仿宋" w:hAnsi="仿宋" w:eastAsia="仿宋" w:cs="仿宋"/>
                <w:bCs/>
                <w:sz w:val="24"/>
                <w:szCs w:val="24"/>
                <w:highlight w:val="none"/>
                <w:lang w:val="en-US" w:eastAsia="zh-CN"/>
              </w:rPr>
              <w:t>注：1.制剂室污水处理系统根据实际污水排放量以及药物试剂产量情况进行结算</w:t>
            </w:r>
          </w:p>
        </w:tc>
      </w:tr>
    </w:tbl>
    <w:p>
      <w:pPr>
        <w:pageBreakBefore w:val="0"/>
        <w:kinsoku/>
        <w:wordWrap/>
        <w:overflowPunct/>
        <w:topLinePunct w:val="0"/>
        <w:autoSpaceDE/>
        <w:autoSpaceDN/>
        <w:bidi w:val="0"/>
        <w:adjustRightInd/>
        <w:snapToGrid/>
        <w:spacing w:line="240" w:lineRule="auto"/>
        <w:ind w:firstLine="0" w:firstLineChars="0"/>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br w:type="page"/>
      </w:r>
    </w:p>
    <w:p>
      <w:pPr>
        <w:pageBreakBefore w:val="0"/>
        <w:kinsoku/>
        <w:wordWrap/>
        <w:overflowPunct/>
        <w:topLinePunct w:val="0"/>
        <w:autoSpaceDE/>
        <w:autoSpaceDN/>
        <w:bidi w:val="0"/>
        <w:adjustRightInd w:val="0"/>
        <w:snapToGrid w:val="0"/>
        <w:spacing w:line="500" w:lineRule="exact"/>
        <w:ind w:firstLine="0" w:firstLineChars="0"/>
        <w:textAlignment w:val="auto"/>
        <w:rPr>
          <w:rFonts w:hint="eastAsia" w:ascii="仿宋" w:hAnsi="仿宋" w:eastAsia="仿宋" w:cs="仿宋"/>
          <w:b/>
          <w:bCs/>
          <w:color w:val="000000"/>
          <w:sz w:val="28"/>
          <w:szCs w:val="28"/>
          <w:highlight w:val="none"/>
          <w:lang w:val="en-US" w:eastAsia="zh-CN"/>
        </w:rPr>
      </w:pPr>
      <w:r>
        <w:rPr>
          <w:rFonts w:hint="eastAsia" w:ascii="仿宋" w:hAnsi="仿宋" w:eastAsia="仿宋" w:cs="仿宋"/>
          <w:b/>
          <w:bCs/>
          <w:sz w:val="28"/>
          <w:szCs w:val="28"/>
          <w:highlight w:val="none"/>
          <w:lang w:val="en-US" w:eastAsia="zh-CN"/>
        </w:rPr>
        <w:t>附件2：</w:t>
      </w:r>
      <w:r>
        <w:rPr>
          <w:rFonts w:hint="eastAsia" w:ascii="仿宋" w:hAnsi="仿宋" w:eastAsia="仿宋" w:cs="仿宋"/>
          <w:b/>
          <w:bCs/>
          <w:color w:val="000000"/>
          <w:sz w:val="28"/>
          <w:szCs w:val="28"/>
          <w:highlight w:val="none"/>
          <w:lang w:val="en-US" w:eastAsia="zh-CN"/>
        </w:rPr>
        <w:t>污水处理300元以下维修材料清单</w:t>
      </w:r>
    </w:p>
    <w:tbl>
      <w:tblPr>
        <w:tblStyle w:val="12"/>
        <w:tblW w:w="1024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83"/>
        <w:gridCol w:w="4740"/>
        <w:gridCol w:w="4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ind w:firstLine="0" w:firstLineChars="0"/>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序号</w:t>
            </w:r>
          </w:p>
        </w:tc>
        <w:tc>
          <w:tcPr>
            <w:tcW w:w="4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部件名称</w:t>
            </w:r>
          </w:p>
        </w:tc>
        <w:tc>
          <w:tcPr>
            <w:tcW w:w="4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b/>
                <w:i w:val="0"/>
                <w:color w:val="000000"/>
                <w:sz w:val="24"/>
                <w:szCs w:val="24"/>
                <w:u w:val="none"/>
              </w:rPr>
            </w:pPr>
            <w:r>
              <w:rPr>
                <w:rFonts w:hint="eastAsia" w:ascii="仿宋" w:hAnsi="仿宋" w:eastAsia="仿宋" w:cs="仿宋"/>
                <w:b/>
                <w:i w:val="0"/>
                <w:color w:val="000000"/>
                <w:kern w:val="0"/>
                <w:sz w:val="24"/>
                <w:szCs w:val="24"/>
                <w:u w:val="none"/>
                <w:lang w:val="en-US" w:eastAsia="zh-CN" w:bidi="ar"/>
              </w:rPr>
              <w:t>规格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4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事故池浮球液位计</w:t>
            </w:r>
          </w:p>
        </w:tc>
        <w:tc>
          <w:tcPr>
            <w:tcW w:w="4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4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调节池浮球液位计</w:t>
            </w:r>
          </w:p>
        </w:tc>
        <w:tc>
          <w:tcPr>
            <w:tcW w:w="4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4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PAC计量泵加药管</w:t>
            </w:r>
          </w:p>
        </w:tc>
        <w:tc>
          <w:tcPr>
            <w:tcW w:w="4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4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PAM计量泵加药管</w:t>
            </w:r>
          </w:p>
        </w:tc>
        <w:tc>
          <w:tcPr>
            <w:tcW w:w="4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5</w:t>
            </w:r>
          </w:p>
        </w:tc>
        <w:tc>
          <w:tcPr>
            <w:tcW w:w="4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消毒药剂加药管</w:t>
            </w:r>
          </w:p>
        </w:tc>
        <w:tc>
          <w:tcPr>
            <w:tcW w:w="4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6</w:t>
            </w:r>
          </w:p>
        </w:tc>
        <w:tc>
          <w:tcPr>
            <w:tcW w:w="4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PAC加药系统球阀</w:t>
            </w:r>
          </w:p>
        </w:tc>
        <w:tc>
          <w:tcPr>
            <w:tcW w:w="4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7</w:t>
            </w:r>
          </w:p>
        </w:tc>
        <w:tc>
          <w:tcPr>
            <w:tcW w:w="4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PAM加药系统球阀</w:t>
            </w:r>
          </w:p>
        </w:tc>
        <w:tc>
          <w:tcPr>
            <w:tcW w:w="4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8</w:t>
            </w:r>
          </w:p>
        </w:tc>
        <w:tc>
          <w:tcPr>
            <w:tcW w:w="4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消毒药剂系统球阀</w:t>
            </w:r>
          </w:p>
        </w:tc>
        <w:tc>
          <w:tcPr>
            <w:tcW w:w="4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9</w:t>
            </w:r>
          </w:p>
        </w:tc>
        <w:tc>
          <w:tcPr>
            <w:tcW w:w="4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PAC加药系统活接</w:t>
            </w:r>
          </w:p>
        </w:tc>
        <w:tc>
          <w:tcPr>
            <w:tcW w:w="4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w:t>
            </w:r>
          </w:p>
        </w:tc>
        <w:tc>
          <w:tcPr>
            <w:tcW w:w="4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PAM加药系统活接</w:t>
            </w:r>
          </w:p>
        </w:tc>
        <w:tc>
          <w:tcPr>
            <w:tcW w:w="4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w:t>
            </w:r>
          </w:p>
        </w:tc>
        <w:tc>
          <w:tcPr>
            <w:tcW w:w="4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消毒药剂系统活接</w:t>
            </w:r>
          </w:p>
        </w:tc>
        <w:tc>
          <w:tcPr>
            <w:tcW w:w="4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12</w:t>
            </w:r>
          </w:p>
        </w:tc>
        <w:tc>
          <w:tcPr>
            <w:tcW w:w="4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PAC加药系统止回阀</w:t>
            </w:r>
          </w:p>
        </w:tc>
        <w:tc>
          <w:tcPr>
            <w:tcW w:w="4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13</w:t>
            </w:r>
          </w:p>
        </w:tc>
        <w:tc>
          <w:tcPr>
            <w:tcW w:w="4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PAM加药系统止回阀</w:t>
            </w:r>
          </w:p>
        </w:tc>
        <w:tc>
          <w:tcPr>
            <w:tcW w:w="4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14</w:t>
            </w:r>
          </w:p>
        </w:tc>
        <w:tc>
          <w:tcPr>
            <w:tcW w:w="4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消毒药剂系统止回阀</w:t>
            </w:r>
          </w:p>
        </w:tc>
        <w:tc>
          <w:tcPr>
            <w:tcW w:w="4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∅32，PVC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15</w:t>
            </w:r>
          </w:p>
        </w:tc>
        <w:tc>
          <w:tcPr>
            <w:tcW w:w="4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鼓风机软接</w:t>
            </w:r>
          </w:p>
        </w:tc>
        <w:tc>
          <w:tcPr>
            <w:tcW w:w="4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16</w:t>
            </w:r>
          </w:p>
        </w:tc>
        <w:tc>
          <w:tcPr>
            <w:tcW w:w="4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鼓风机闸阀</w:t>
            </w:r>
          </w:p>
        </w:tc>
        <w:tc>
          <w:tcPr>
            <w:tcW w:w="4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DN65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17</w:t>
            </w:r>
          </w:p>
        </w:tc>
        <w:tc>
          <w:tcPr>
            <w:tcW w:w="4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鼓风机传动皮带</w:t>
            </w:r>
          </w:p>
        </w:tc>
        <w:tc>
          <w:tcPr>
            <w:tcW w:w="4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18</w:t>
            </w:r>
          </w:p>
        </w:tc>
        <w:tc>
          <w:tcPr>
            <w:tcW w:w="4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PH计检测探头</w:t>
            </w:r>
          </w:p>
        </w:tc>
        <w:tc>
          <w:tcPr>
            <w:tcW w:w="4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19</w:t>
            </w:r>
          </w:p>
        </w:tc>
        <w:tc>
          <w:tcPr>
            <w:tcW w:w="474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沉淀池出水堰</w:t>
            </w:r>
          </w:p>
        </w:tc>
        <w:tc>
          <w:tcPr>
            <w:tcW w:w="43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碳钢防腐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20</w:t>
            </w:r>
          </w:p>
        </w:tc>
        <w:tc>
          <w:tcPr>
            <w:tcW w:w="4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各反应池体其他阀门、管件</w:t>
            </w:r>
          </w:p>
        </w:tc>
        <w:tc>
          <w:tcPr>
            <w:tcW w:w="43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18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21</w:t>
            </w:r>
          </w:p>
        </w:tc>
        <w:tc>
          <w:tcPr>
            <w:tcW w:w="47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臭气处理装置阀门组件</w:t>
            </w:r>
          </w:p>
        </w:tc>
        <w:tc>
          <w:tcPr>
            <w:tcW w:w="4320" w:type="dxa"/>
            <w:tcBorders>
              <w:top w:val="single" w:color="000000" w:sz="4" w:space="0"/>
              <w:left w:val="single" w:color="000000" w:sz="4" w:space="0"/>
              <w:bottom w:val="single" w:color="000000" w:sz="4" w:space="0"/>
              <w:right w:val="single" w:color="auto" w:sz="4" w:space="0"/>
            </w:tcBorders>
            <w:noWrap/>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2" w:hRule="atLeast"/>
        </w:trPr>
        <w:tc>
          <w:tcPr>
            <w:tcW w:w="10243" w:type="dxa"/>
            <w:gridSpan w:val="3"/>
            <w:tcBorders>
              <w:top w:val="single" w:color="000000" w:sz="4" w:space="0"/>
              <w:left w:val="single" w:color="000000" w:sz="4" w:space="0"/>
              <w:bottom w:val="single" w:color="000000" w:sz="4" w:space="0"/>
              <w:right w:val="single" w:color="auto" w:sz="4" w:space="0"/>
            </w:tcBorders>
            <w:noWrap w:val="0"/>
            <w:tcMar>
              <w:top w:w="15" w:type="dxa"/>
              <w:left w:w="15" w:type="dxa"/>
              <w:right w:w="15" w:type="dxa"/>
            </w:tcMar>
            <w:vAlign w:val="center"/>
          </w:tcPr>
          <w:p>
            <w:pPr>
              <w:keepNext w:val="0"/>
              <w:keepLines w:val="0"/>
              <w:widowControl/>
              <w:suppressLineNumbers w:val="0"/>
              <w:spacing w:line="360" w:lineRule="auto"/>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 备注：其他运行设备损坏程度或部位维修价格不等，具体维修费用需视具体情况而定。</w:t>
            </w:r>
          </w:p>
        </w:tc>
      </w:tr>
    </w:tbl>
    <w:p>
      <w:pPr>
        <w:rPr>
          <w:rFonts w:hint="default"/>
          <w:lang w:val="en-US" w:eastAsia="zh-CN"/>
        </w:rPr>
      </w:pPr>
      <w:r>
        <w:rPr>
          <w:rFonts w:hint="default"/>
          <w:lang w:val="en-US" w:eastAsia="zh-CN"/>
        </w:rPr>
        <w:br w:type="page"/>
      </w:r>
    </w:p>
    <w:p>
      <w:pPr>
        <w:ind w:firstLine="0" w:firstLineChars="0"/>
        <w:jc w:val="both"/>
        <w:rPr>
          <w:rFonts w:hint="eastAsia"/>
          <w:lang w:val="en-US" w:eastAsia="zh-CN"/>
        </w:rPr>
      </w:pPr>
      <w:r>
        <w:rPr>
          <w:rFonts w:hint="eastAsia" w:ascii="仿宋" w:hAnsi="仿宋" w:eastAsia="仿宋" w:cs="仿宋"/>
          <w:b/>
          <w:bCs/>
          <w:sz w:val="28"/>
          <w:szCs w:val="28"/>
          <w:lang w:val="en-US" w:eastAsia="zh-CN"/>
        </w:rPr>
        <w:t>附件3</w:t>
      </w:r>
      <w:r>
        <w:rPr>
          <w:rFonts w:hint="eastAsia"/>
          <w:lang w:val="en-US" w:eastAsia="zh-CN"/>
        </w:rPr>
        <w:t xml:space="preserve"> </w:t>
      </w:r>
    </w:p>
    <w:p>
      <w:pPr>
        <w:jc w:val="center"/>
        <w:rPr>
          <w:rFonts w:hint="eastAsia" w:ascii="宋体" w:hAnsi="宋体"/>
          <w:b/>
          <w:sz w:val="32"/>
        </w:rPr>
      </w:pPr>
      <w:r>
        <w:rPr>
          <w:rFonts w:hint="eastAsia" w:ascii="宋体" w:hAnsi="宋体"/>
          <w:b/>
          <w:sz w:val="32"/>
        </w:rPr>
        <w:t>污水处理运营管理服务月度质量考核表</w:t>
      </w:r>
    </w:p>
    <w:p>
      <w:pPr>
        <w:rPr>
          <w:rFonts w:hint="eastAsia" w:ascii="宋体" w:hAnsi="宋体"/>
          <w:b/>
          <w:sz w:val="32"/>
        </w:rPr>
      </w:pPr>
      <w:r>
        <w:rPr>
          <w:rFonts w:hint="eastAsia" w:ascii="宋体" w:hAnsi="宋体"/>
          <w:b/>
          <w:sz w:val="24"/>
          <w:szCs w:val="21"/>
        </w:rPr>
        <w:t>考核日期：</w:t>
      </w:r>
      <w:r>
        <w:rPr>
          <w:rFonts w:hint="eastAsia" w:ascii="宋体" w:hAnsi="宋体"/>
          <w:b/>
          <w:sz w:val="24"/>
          <w:szCs w:val="21"/>
          <w:lang w:val="en-US" w:eastAsia="zh-CN"/>
        </w:rPr>
        <w:t xml:space="preserve">    </w:t>
      </w:r>
      <w:r>
        <w:rPr>
          <w:rFonts w:hint="eastAsia" w:ascii="宋体" w:hAnsi="宋体"/>
          <w:b/>
          <w:sz w:val="24"/>
          <w:szCs w:val="21"/>
        </w:rPr>
        <w:t>年</w:t>
      </w:r>
      <w:r>
        <w:rPr>
          <w:rFonts w:hint="eastAsia" w:ascii="宋体" w:hAnsi="宋体"/>
          <w:b/>
          <w:sz w:val="24"/>
          <w:szCs w:val="21"/>
          <w:lang w:val="en-US" w:eastAsia="zh-CN"/>
        </w:rPr>
        <w:t xml:space="preserve">  </w:t>
      </w:r>
      <w:r>
        <w:rPr>
          <w:rFonts w:hint="eastAsia" w:ascii="宋体" w:hAnsi="宋体"/>
          <w:b/>
          <w:sz w:val="24"/>
          <w:szCs w:val="21"/>
        </w:rPr>
        <w:t>月</w:t>
      </w:r>
      <w:r>
        <w:rPr>
          <w:rFonts w:hint="eastAsia" w:ascii="宋体" w:hAnsi="宋体"/>
          <w:b/>
          <w:sz w:val="24"/>
          <w:szCs w:val="21"/>
          <w:lang w:val="en-US" w:eastAsia="zh-CN"/>
        </w:rPr>
        <w:t xml:space="preserve">  </w:t>
      </w:r>
      <w:r>
        <w:rPr>
          <w:rFonts w:hint="eastAsia" w:ascii="宋体" w:hAnsi="宋体"/>
          <w:b/>
          <w:sz w:val="24"/>
          <w:szCs w:val="21"/>
        </w:rPr>
        <w:t>日</w:t>
      </w:r>
    </w:p>
    <w:tbl>
      <w:tblPr>
        <w:tblStyle w:val="12"/>
        <w:tblW w:w="10682" w:type="dxa"/>
        <w:jc w:val="center"/>
        <w:tblLayout w:type="fixed"/>
        <w:tblCellMar>
          <w:top w:w="0" w:type="dxa"/>
          <w:left w:w="108" w:type="dxa"/>
          <w:bottom w:w="0" w:type="dxa"/>
          <w:right w:w="108" w:type="dxa"/>
        </w:tblCellMar>
      </w:tblPr>
      <w:tblGrid>
        <w:gridCol w:w="476"/>
        <w:gridCol w:w="1134"/>
        <w:gridCol w:w="4647"/>
        <w:gridCol w:w="709"/>
        <w:gridCol w:w="2727"/>
        <w:gridCol w:w="989"/>
      </w:tblGrid>
      <w:tr>
        <w:tblPrEx>
          <w:tblCellMar>
            <w:top w:w="0" w:type="dxa"/>
            <w:left w:w="108" w:type="dxa"/>
            <w:bottom w:w="0" w:type="dxa"/>
            <w:right w:w="108" w:type="dxa"/>
          </w:tblCellMar>
        </w:tblPrEx>
        <w:trPr>
          <w:trHeight w:val="454" w:hRule="atLeast"/>
          <w:tblHeader/>
          <w:jc w:val="center"/>
        </w:trPr>
        <w:tc>
          <w:tcPr>
            <w:tcW w:w="9693" w:type="dxa"/>
            <w:gridSpan w:val="5"/>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276" w:lineRule="auto"/>
              <w:ind w:firstLine="11"/>
              <w:jc w:val="left"/>
              <w:rPr>
                <w:rFonts w:hint="default" w:ascii="宋体" w:hAnsi="宋体" w:eastAsia="宋体" w:cs="宋体"/>
                <w:b/>
                <w:bCs/>
                <w:sz w:val="20"/>
                <w:szCs w:val="20"/>
                <w:lang w:val="en-US" w:eastAsia="zh-CN"/>
              </w:rPr>
            </w:pPr>
            <w:r>
              <w:rPr>
                <w:rFonts w:hint="eastAsia" w:ascii="宋体" w:hAnsi="宋体" w:cs="宋体"/>
                <w:b/>
                <w:bCs/>
                <w:sz w:val="20"/>
                <w:szCs w:val="20"/>
              </w:rPr>
              <w:t>污水处理站运营单位（被考核单位）：</w:t>
            </w:r>
            <w:r>
              <w:rPr>
                <w:rFonts w:hint="eastAsia" w:ascii="宋体" w:hAnsi="宋体" w:cs="宋体"/>
                <w:b/>
                <w:bCs/>
                <w:sz w:val="20"/>
                <w:szCs w:val="20"/>
                <w:lang w:val="en-US" w:eastAsia="zh-CN"/>
              </w:rPr>
              <w:t>*********</w:t>
            </w:r>
          </w:p>
        </w:tc>
        <w:tc>
          <w:tcPr>
            <w:tcW w:w="989" w:type="dxa"/>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276" w:lineRule="auto"/>
              <w:jc w:val="left"/>
              <w:rPr>
                <w:rFonts w:hint="eastAsia" w:ascii="宋体" w:hAnsi="宋体" w:cs="宋体"/>
                <w:b/>
                <w:bCs/>
                <w:sz w:val="18"/>
                <w:szCs w:val="18"/>
              </w:rPr>
            </w:pPr>
          </w:p>
        </w:tc>
      </w:tr>
      <w:tr>
        <w:tblPrEx>
          <w:tblCellMar>
            <w:top w:w="0" w:type="dxa"/>
            <w:left w:w="108" w:type="dxa"/>
            <w:bottom w:w="0" w:type="dxa"/>
            <w:right w:w="108" w:type="dxa"/>
          </w:tblCellMar>
        </w:tblPrEx>
        <w:trPr>
          <w:trHeight w:val="657" w:hRule="atLeast"/>
          <w:tblHeader/>
          <w:jc w:val="center"/>
        </w:trPr>
        <w:tc>
          <w:tcPr>
            <w:tcW w:w="476" w:type="dxa"/>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序号</w:t>
            </w:r>
          </w:p>
        </w:tc>
        <w:tc>
          <w:tcPr>
            <w:tcW w:w="1134" w:type="dxa"/>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项目内容</w:t>
            </w:r>
          </w:p>
        </w:tc>
        <w:tc>
          <w:tcPr>
            <w:tcW w:w="4647" w:type="dxa"/>
            <w:tcBorders>
              <w:top w:val="single" w:color="auto" w:sz="4" w:space="0"/>
              <w:left w:val="nil"/>
              <w:bottom w:val="single" w:color="auto" w:sz="4" w:space="0"/>
              <w:right w:val="single" w:color="auto" w:sz="4" w:space="0"/>
            </w:tcBorders>
            <w:shd w:val="clear" w:color="auto" w:fill="F2F2F2"/>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基本要求</w:t>
            </w:r>
          </w:p>
        </w:tc>
        <w:tc>
          <w:tcPr>
            <w:tcW w:w="709" w:type="dxa"/>
            <w:tcBorders>
              <w:top w:val="single" w:color="auto" w:sz="4" w:space="0"/>
              <w:left w:val="nil"/>
              <w:bottom w:val="single" w:color="auto" w:sz="4" w:space="0"/>
              <w:right w:val="single" w:color="auto" w:sz="4" w:space="0"/>
            </w:tcBorders>
            <w:shd w:val="clear" w:color="auto" w:fill="F2F2F2"/>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标准分值</w:t>
            </w:r>
          </w:p>
        </w:tc>
        <w:tc>
          <w:tcPr>
            <w:tcW w:w="2727" w:type="dxa"/>
            <w:tcBorders>
              <w:top w:val="single" w:color="auto" w:sz="4" w:space="0"/>
              <w:left w:val="nil"/>
              <w:bottom w:val="single" w:color="auto" w:sz="4" w:space="0"/>
              <w:right w:val="single" w:color="auto" w:sz="4" w:space="0"/>
            </w:tcBorders>
            <w:shd w:val="clear" w:color="auto" w:fill="F2F2F2"/>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评分方法</w:t>
            </w:r>
          </w:p>
        </w:tc>
        <w:tc>
          <w:tcPr>
            <w:tcW w:w="989" w:type="dxa"/>
            <w:tcBorders>
              <w:top w:val="single" w:color="auto" w:sz="4" w:space="0"/>
              <w:left w:val="nil"/>
              <w:bottom w:val="single" w:color="auto" w:sz="4" w:space="0"/>
              <w:right w:val="single" w:color="auto" w:sz="4" w:space="0"/>
            </w:tcBorders>
            <w:shd w:val="clear" w:color="auto" w:fill="F2F2F2"/>
            <w:vAlign w:val="center"/>
          </w:tcPr>
          <w:p>
            <w:pPr>
              <w:widowControl/>
              <w:spacing w:line="276" w:lineRule="auto"/>
              <w:ind w:firstLine="11"/>
              <w:jc w:val="center"/>
              <w:rPr>
                <w:rFonts w:hint="eastAsia" w:ascii="宋体" w:hAnsi="宋体" w:cs="宋体"/>
                <w:sz w:val="18"/>
                <w:szCs w:val="18"/>
              </w:rPr>
            </w:pPr>
            <w:r>
              <w:rPr>
                <w:rFonts w:hint="eastAsia" w:ascii="宋体" w:hAnsi="宋体" w:cs="宋体"/>
                <w:sz w:val="18"/>
                <w:szCs w:val="18"/>
              </w:rPr>
              <w:t>得分情况</w:t>
            </w:r>
          </w:p>
        </w:tc>
      </w:tr>
      <w:tr>
        <w:tblPrEx>
          <w:tblCellMar>
            <w:top w:w="0" w:type="dxa"/>
            <w:left w:w="108" w:type="dxa"/>
            <w:bottom w:w="0" w:type="dxa"/>
            <w:right w:w="108" w:type="dxa"/>
          </w:tblCellMar>
        </w:tblPrEx>
        <w:trPr>
          <w:trHeight w:val="1206" w:hRule="atLeast"/>
          <w:jc w:val="center"/>
        </w:trPr>
        <w:tc>
          <w:tcPr>
            <w:tcW w:w="476" w:type="dxa"/>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1</w:t>
            </w:r>
          </w:p>
        </w:tc>
        <w:tc>
          <w:tcPr>
            <w:tcW w:w="1134" w:type="dxa"/>
            <w:vMerge w:val="restart"/>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ascii="宋体" w:hAnsi="宋体" w:cs="宋体"/>
                <w:sz w:val="18"/>
                <w:szCs w:val="18"/>
              </w:rPr>
              <w:t>制度完善</w:t>
            </w:r>
          </w:p>
        </w:tc>
        <w:tc>
          <w:tcPr>
            <w:tcW w:w="4647" w:type="dxa"/>
            <w:tcBorders>
              <w:top w:val="nil"/>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按现场实际情况，编制污水处理操作规程、应急预案作为工艺管理作业指导书。</w:t>
            </w:r>
          </w:p>
        </w:tc>
        <w:tc>
          <w:tcPr>
            <w:tcW w:w="709" w:type="dxa"/>
            <w:tcBorders>
              <w:top w:val="nil"/>
              <w:left w:val="nil"/>
              <w:bottom w:val="single" w:color="auto" w:sz="4" w:space="0"/>
              <w:right w:val="single" w:color="auto" w:sz="4" w:space="0"/>
            </w:tcBorders>
            <w:vAlign w:val="center"/>
          </w:tcPr>
          <w:p>
            <w:pPr>
              <w:widowControl/>
              <w:spacing w:line="276" w:lineRule="auto"/>
              <w:ind w:hanging="3"/>
              <w:jc w:val="center"/>
              <w:rPr>
                <w:rFonts w:hint="eastAsia" w:ascii="宋体" w:hAnsi="宋体" w:cs="Calibri"/>
                <w:sz w:val="18"/>
                <w:szCs w:val="18"/>
              </w:rPr>
            </w:pPr>
            <w:r>
              <w:rPr>
                <w:rFonts w:hint="eastAsia" w:ascii="宋体" w:hAnsi="宋体" w:cs="Calibri"/>
                <w:sz w:val="18"/>
                <w:szCs w:val="18"/>
              </w:rPr>
              <w:t>5</w:t>
            </w:r>
          </w:p>
        </w:tc>
        <w:tc>
          <w:tcPr>
            <w:tcW w:w="2727" w:type="dxa"/>
            <w:tcBorders>
              <w:top w:val="nil"/>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现场进行检查，每缺一项扣1分，直至扣完为止；执行不到位，每发现一处扣1分，扣完为止</w:t>
            </w:r>
          </w:p>
        </w:tc>
        <w:tc>
          <w:tcPr>
            <w:tcW w:w="989" w:type="dxa"/>
            <w:tcBorders>
              <w:top w:val="nil"/>
              <w:left w:val="nil"/>
              <w:bottom w:val="single" w:color="auto" w:sz="4" w:space="0"/>
              <w:right w:val="single" w:color="auto" w:sz="4" w:space="0"/>
            </w:tcBorders>
            <w:vAlign w:val="center"/>
          </w:tcPr>
          <w:p>
            <w:pPr>
              <w:widowControl/>
              <w:spacing w:line="276" w:lineRule="auto"/>
              <w:jc w:val="center"/>
              <w:rPr>
                <w:rFonts w:hint="eastAsia" w:ascii="宋体" w:hAnsi="宋体" w:cs="Calibri"/>
                <w:sz w:val="18"/>
                <w:szCs w:val="18"/>
              </w:rPr>
            </w:pPr>
          </w:p>
        </w:tc>
      </w:tr>
      <w:tr>
        <w:tblPrEx>
          <w:tblCellMar>
            <w:top w:w="0" w:type="dxa"/>
            <w:left w:w="108" w:type="dxa"/>
            <w:bottom w:w="0" w:type="dxa"/>
            <w:right w:w="108" w:type="dxa"/>
          </w:tblCellMar>
        </w:tblPrEx>
        <w:trPr>
          <w:trHeight w:val="454" w:hRule="atLeast"/>
          <w:jc w:val="center"/>
        </w:trPr>
        <w:tc>
          <w:tcPr>
            <w:tcW w:w="476" w:type="dxa"/>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2</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p>
        </w:tc>
        <w:tc>
          <w:tcPr>
            <w:tcW w:w="4647" w:type="dxa"/>
            <w:tcBorders>
              <w:top w:val="nil"/>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相关管理制度、人员岗位职责、工艺流程、应急措施等规章制度须要上墙。</w:t>
            </w:r>
          </w:p>
        </w:tc>
        <w:tc>
          <w:tcPr>
            <w:tcW w:w="709" w:type="dxa"/>
            <w:tcBorders>
              <w:top w:val="nil"/>
              <w:left w:val="nil"/>
              <w:bottom w:val="single" w:color="auto" w:sz="4" w:space="0"/>
              <w:right w:val="single" w:color="auto" w:sz="4" w:space="0"/>
            </w:tcBorders>
            <w:vAlign w:val="center"/>
          </w:tcPr>
          <w:p>
            <w:pPr>
              <w:widowControl/>
              <w:spacing w:line="276" w:lineRule="auto"/>
              <w:ind w:hanging="3"/>
              <w:jc w:val="center"/>
              <w:rPr>
                <w:rFonts w:hint="eastAsia" w:ascii="宋体" w:hAnsi="宋体" w:cs="Calibri"/>
                <w:sz w:val="18"/>
                <w:szCs w:val="18"/>
              </w:rPr>
            </w:pPr>
            <w:r>
              <w:rPr>
                <w:rFonts w:hint="eastAsia" w:ascii="宋体" w:hAnsi="宋体" w:cs="Calibri"/>
                <w:sz w:val="18"/>
                <w:szCs w:val="18"/>
              </w:rPr>
              <w:t>5</w:t>
            </w:r>
          </w:p>
        </w:tc>
        <w:tc>
          <w:tcPr>
            <w:tcW w:w="2727" w:type="dxa"/>
            <w:tcBorders>
              <w:top w:val="nil"/>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缺一项扣1分，扣完为止</w:t>
            </w:r>
          </w:p>
        </w:tc>
        <w:tc>
          <w:tcPr>
            <w:tcW w:w="989" w:type="dxa"/>
            <w:tcBorders>
              <w:top w:val="nil"/>
              <w:left w:val="nil"/>
              <w:bottom w:val="single" w:color="auto" w:sz="4" w:space="0"/>
              <w:right w:val="single" w:color="auto" w:sz="4" w:space="0"/>
            </w:tcBorders>
            <w:vAlign w:val="center"/>
          </w:tcPr>
          <w:p>
            <w:pPr>
              <w:widowControl/>
              <w:spacing w:line="276" w:lineRule="auto"/>
              <w:jc w:val="center"/>
              <w:rPr>
                <w:rFonts w:hint="eastAsia" w:ascii="宋体" w:hAnsi="宋体" w:cs="Calibri"/>
                <w:sz w:val="18"/>
                <w:szCs w:val="18"/>
              </w:rPr>
            </w:pPr>
          </w:p>
        </w:tc>
      </w:tr>
      <w:tr>
        <w:tblPrEx>
          <w:tblCellMar>
            <w:top w:w="0" w:type="dxa"/>
            <w:left w:w="108" w:type="dxa"/>
            <w:bottom w:w="0" w:type="dxa"/>
            <w:right w:w="108" w:type="dxa"/>
          </w:tblCellMar>
        </w:tblPrEx>
        <w:trPr>
          <w:trHeight w:val="454" w:hRule="atLeast"/>
          <w:jc w:val="center"/>
        </w:trPr>
        <w:tc>
          <w:tcPr>
            <w:tcW w:w="476" w:type="dxa"/>
            <w:vMerge w:val="restart"/>
            <w:tcBorders>
              <w:top w:val="nil"/>
              <w:left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ascii="宋体" w:hAnsi="宋体" w:cs="宋体"/>
                <w:sz w:val="18"/>
                <w:szCs w:val="18"/>
              </w:rPr>
              <w:t>9</w:t>
            </w:r>
            <w:r>
              <w:rPr>
                <w:rFonts w:hint="eastAsia" w:ascii="宋体" w:hAnsi="宋体" w:cs="宋体"/>
                <w:sz w:val="18"/>
                <w:szCs w:val="18"/>
              </w:rPr>
              <w:t>3</w:t>
            </w:r>
          </w:p>
        </w:tc>
        <w:tc>
          <w:tcPr>
            <w:tcW w:w="1134" w:type="dxa"/>
            <w:vMerge w:val="restart"/>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构筑物和环境安全</w:t>
            </w:r>
          </w:p>
        </w:tc>
        <w:tc>
          <w:tcPr>
            <w:tcW w:w="4647" w:type="dxa"/>
            <w:vMerge w:val="restart"/>
            <w:tcBorders>
              <w:top w:val="nil"/>
              <w:left w:val="nil"/>
              <w:right w:val="single" w:color="auto" w:sz="4" w:space="0"/>
            </w:tcBorders>
            <w:vAlign w:val="center"/>
          </w:tcPr>
          <w:p>
            <w:pPr>
              <w:spacing w:line="276" w:lineRule="auto"/>
              <w:ind w:hanging="3"/>
              <w:rPr>
                <w:rFonts w:hint="eastAsia" w:ascii="宋体" w:hAnsi="宋体" w:cs="宋体"/>
                <w:color w:val="FF0000"/>
                <w:sz w:val="18"/>
                <w:szCs w:val="18"/>
              </w:rPr>
            </w:pPr>
            <w:r>
              <w:rPr>
                <w:rFonts w:hint="eastAsia" w:ascii="宋体" w:hAnsi="宋体" w:cs="宋体"/>
                <w:sz w:val="18"/>
                <w:szCs w:val="18"/>
              </w:rPr>
              <w:t>污水处理站各建筑物外观整洁、无破损、地面干净、池面干净无污物，污水处池内无漂浮物，处理设施无泄漏现象。</w:t>
            </w:r>
          </w:p>
        </w:tc>
        <w:tc>
          <w:tcPr>
            <w:tcW w:w="709" w:type="dxa"/>
            <w:vMerge w:val="restart"/>
            <w:tcBorders>
              <w:top w:val="nil"/>
              <w:left w:val="nil"/>
              <w:right w:val="single" w:color="auto" w:sz="4" w:space="0"/>
            </w:tcBorders>
            <w:vAlign w:val="center"/>
          </w:tcPr>
          <w:p>
            <w:pPr>
              <w:spacing w:line="276" w:lineRule="auto"/>
              <w:ind w:hanging="3"/>
              <w:jc w:val="center"/>
              <w:rPr>
                <w:rFonts w:hint="eastAsia" w:ascii="宋体" w:hAnsi="宋体" w:cs="Calibri"/>
                <w:color w:val="FF0000"/>
                <w:sz w:val="18"/>
                <w:szCs w:val="18"/>
              </w:rPr>
            </w:pPr>
            <w:r>
              <w:rPr>
                <w:rFonts w:ascii="宋体" w:hAnsi="宋体" w:cs="Calibri"/>
                <w:sz w:val="18"/>
                <w:szCs w:val="18"/>
              </w:rPr>
              <w:t>10</w:t>
            </w:r>
          </w:p>
        </w:tc>
        <w:tc>
          <w:tcPr>
            <w:tcW w:w="2727" w:type="dxa"/>
            <w:vMerge w:val="restart"/>
            <w:tcBorders>
              <w:top w:val="nil"/>
              <w:left w:val="nil"/>
              <w:right w:val="single" w:color="auto" w:sz="4" w:space="0"/>
            </w:tcBorders>
            <w:vAlign w:val="center"/>
          </w:tcPr>
          <w:p>
            <w:pPr>
              <w:spacing w:line="276" w:lineRule="auto"/>
              <w:ind w:hanging="3"/>
              <w:rPr>
                <w:rFonts w:hint="eastAsia" w:ascii="宋体" w:hAnsi="宋体" w:cs="宋体"/>
                <w:color w:val="FF0000"/>
                <w:sz w:val="18"/>
                <w:szCs w:val="18"/>
              </w:rPr>
            </w:pPr>
            <w:r>
              <w:rPr>
                <w:rFonts w:hint="eastAsia" w:ascii="宋体" w:hAnsi="宋体" w:cs="宋体"/>
                <w:sz w:val="18"/>
                <w:szCs w:val="18"/>
              </w:rPr>
              <w:t>现场检查，每一项1分，扣完为止</w:t>
            </w:r>
          </w:p>
        </w:tc>
        <w:tc>
          <w:tcPr>
            <w:tcW w:w="989" w:type="dxa"/>
            <w:tcBorders>
              <w:top w:val="single" w:color="auto" w:sz="4" w:space="0"/>
              <w:left w:val="nil"/>
              <w:right w:val="single" w:color="auto" w:sz="4" w:space="0"/>
            </w:tcBorders>
            <w:vAlign w:val="center"/>
          </w:tcPr>
          <w:p>
            <w:pPr>
              <w:widowControl/>
              <w:spacing w:line="276" w:lineRule="auto"/>
              <w:jc w:val="center"/>
              <w:rPr>
                <w:rFonts w:hint="eastAsia" w:ascii="宋体" w:hAnsi="宋体" w:cs="Calibri"/>
                <w:sz w:val="18"/>
                <w:szCs w:val="18"/>
              </w:rPr>
            </w:pPr>
          </w:p>
        </w:tc>
      </w:tr>
      <w:tr>
        <w:tblPrEx>
          <w:tblCellMar>
            <w:top w:w="0" w:type="dxa"/>
            <w:left w:w="108" w:type="dxa"/>
            <w:bottom w:w="0" w:type="dxa"/>
            <w:right w:w="108" w:type="dxa"/>
          </w:tblCellMar>
        </w:tblPrEx>
        <w:trPr>
          <w:trHeight w:val="219" w:hRule="atLeast"/>
          <w:jc w:val="center"/>
        </w:trPr>
        <w:tc>
          <w:tcPr>
            <w:tcW w:w="476" w:type="dxa"/>
            <w:vMerge w:val="continue"/>
            <w:tcBorders>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p>
        </w:tc>
        <w:tc>
          <w:tcPr>
            <w:tcW w:w="4647" w:type="dxa"/>
            <w:vMerge w:val="continue"/>
            <w:tcBorders>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p>
        </w:tc>
        <w:tc>
          <w:tcPr>
            <w:tcW w:w="709" w:type="dxa"/>
            <w:vMerge w:val="continue"/>
            <w:tcBorders>
              <w:left w:val="nil"/>
              <w:bottom w:val="single" w:color="auto" w:sz="4" w:space="0"/>
              <w:right w:val="single" w:color="auto" w:sz="4" w:space="0"/>
            </w:tcBorders>
            <w:vAlign w:val="center"/>
          </w:tcPr>
          <w:p>
            <w:pPr>
              <w:widowControl/>
              <w:spacing w:line="276" w:lineRule="auto"/>
              <w:ind w:hanging="3"/>
              <w:jc w:val="center"/>
              <w:rPr>
                <w:rFonts w:hint="eastAsia" w:ascii="宋体" w:hAnsi="宋体" w:cs="Calibri"/>
                <w:sz w:val="18"/>
                <w:szCs w:val="18"/>
              </w:rPr>
            </w:pPr>
          </w:p>
        </w:tc>
        <w:tc>
          <w:tcPr>
            <w:tcW w:w="2727" w:type="dxa"/>
            <w:vMerge w:val="continue"/>
            <w:tcBorders>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p>
        </w:tc>
        <w:tc>
          <w:tcPr>
            <w:tcW w:w="989" w:type="dxa"/>
            <w:tcBorders>
              <w:top w:val="nil"/>
              <w:left w:val="nil"/>
              <w:bottom w:val="single" w:color="auto" w:sz="4" w:space="0"/>
              <w:right w:val="single" w:color="auto" w:sz="4" w:space="0"/>
            </w:tcBorders>
            <w:vAlign w:val="center"/>
          </w:tcPr>
          <w:p>
            <w:pPr>
              <w:widowControl/>
              <w:spacing w:line="276" w:lineRule="auto"/>
              <w:rPr>
                <w:rFonts w:hint="eastAsia" w:ascii="宋体" w:hAnsi="宋体" w:cs="Calibri"/>
                <w:sz w:val="18"/>
                <w:szCs w:val="18"/>
              </w:rPr>
            </w:pPr>
          </w:p>
        </w:tc>
      </w:tr>
      <w:tr>
        <w:tblPrEx>
          <w:tblCellMar>
            <w:top w:w="0" w:type="dxa"/>
            <w:left w:w="108" w:type="dxa"/>
            <w:bottom w:w="0" w:type="dxa"/>
            <w:right w:w="108" w:type="dxa"/>
          </w:tblCellMar>
        </w:tblPrEx>
        <w:trPr>
          <w:trHeight w:val="454" w:hRule="atLeast"/>
          <w:jc w:val="center"/>
        </w:trPr>
        <w:tc>
          <w:tcPr>
            <w:tcW w:w="476" w:type="dxa"/>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4</w:t>
            </w:r>
          </w:p>
        </w:tc>
        <w:tc>
          <w:tcPr>
            <w:tcW w:w="1134" w:type="dxa"/>
            <w:vMerge w:val="restart"/>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人员配备、安全培训、保护措施</w:t>
            </w:r>
          </w:p>
        </w:tc>
        <w:tc>
          <w:tcPr>
            <w:tcW w:w="4647" w:type="dxa"/>
            <w:tcBorders>
              <w:top w:val="nil"/>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项目负责人、运行工程师、维修人员必须具有相应的环保资格证书。</w:t>
            </w:r>
          </w:p>
        </w:tc>
        <w:tc>
          <w:tcPr>
            <w:tcW w:w="709" w:type="dxa"/>
            <w:tcBorders>
              <w:top w:val="nil"/>
              <w:left w:val="nil"/>
              <w:bottom w:val="single" w:color="auto" w:sz="4" w:space="0"/>
              <w:right w:val="single" w:color="auto" w:sz="4" w:space="0"/>
            </w:tcBorders>
            <w:vAlign w:val="center"/>
          </w:tcPr>
          <w:p>
            <w:pPr>
              <w:widowControl/>
              <w:spacing w:line="276" w:lineRule="auto"/>
              <w:ind w:hanging="3"/>
              <w:jc w:val="center"/>
              <w:rPr>
                <w:rFonts w:hint="eastAsia" w:ascii="宋体" w:hAnsi="宋体" w:cs="Calibri"/>
                <w:sz w:val="18"/>
                <w:szCs w:val="18"/>
              </w:rPr>
            </w:pPr>
            <w:r>
              <w:rPr>
                <w:rFonts w:hint="eastAsia" w:ascii="宋体" w:hAnsi="宋体" w:cs="Calibri"/>
                <w:sz w:val="18"/>
                <w:szCs w:val="18"/>
              </w:rPr>
              <w:t>6</w:t>
            </w:r>
          </w:p>
        </w:tc>
        <w:tc>
          <w:tcPr>
            <w:tcW w:w="2727" w:type="dxa"/>
            <w:tcBorders>
              <w:top w:val="nil"/>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人员配备不符合要求，每处扣2分，扣完为止。</w:t>
            </w:r>
          </w:p>
        </w:tc>
        <w:tc>
          <w:tcPr>
            <w:tcW w:w="989" w:type="dxa"/>
            <w:tcBorders>
              <w:top w:val="nil"/>
              <w:left w:val="nil"/>
              <w:bottom w:val="single" w:color="auto" w:sz="4" w:space="0"/>
              <w:right w:val="single" w:color="auto" w:sz="4" w:space="0"/>
            </w:tcBorders>
            <w:vAlign w:val="center"/>
          </w:tcPr>
          <w:p>
            <w:pPr>
              <w:widowControl/>
              <w:spacing w:line="276" w:lineRule="auto"/>
              <w:jc w:val="center"/>
              <w:rPr>
                <w:rFonts w:hint="eastAsia" w:ascii="宋体" w:hAnsi="宋体" w:cs="Calibri"/>
                <w:sz w:val="18"/>
                <w:szCs w:val="18"/>
              </w:rPr>
            </w:pPr>
          </w:p>
        </w:tc>
      </w:tr>
      <w:tr>
        <w:tblPrEx>
          <w:tblCellMar>
            <w:top w:w="0" w:type="dxa"/>
            <w:left w:w="108" w:type="dxa"/>
            <w:bottom w:w="0" w:type="dxa"/>
            <w:right w:w="108" w:type="dxa"/>
          </w:tblCellMar>
        </w:tblPrEx>
        <w:trPr>
          <w:trHeight w:val="454"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ascii="宋体" w:hAnsi="宋体" w:cs="宋体"/>
                <w:sz w:val="18"/>
                <w:szCs w:val="18"/>
              </w:rPr>
              <w:t>5</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p>
        </w:tc>
        <w:tc>
          <w:tcPr>
            <w:tcW w:w="4647" w:type="dxa"/>
            <w:tcBorders>
              <w:top w:val="nil"/>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（1）操作现场应配备必备的个人安全保护措施和消防措施。</w:t>
            </w:r>
          </w:p>
        </w:tc>
        <w:tc>
          <w:tcPr>
            <w:tcW w:w="709" w:type="dxa"/>
            <w:vMerge w:val="restart"/>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Calibri"/>
                <w:sz w:val="18"/>
                <w:szCs w:val="18"/>
              </w:rPr>
            </w:pPr>
            <w:r>
              <w:rPr>
                <w:rFonts w:hint="eastAsia" w:ascii="宋体" w:hAnsi="宋体" w:cs="Calibri"/>
                <w:sz w:val="18"/>
                <w:szCs w:val="18"/>
              </w:rPr>
              <w:t>6</w:t>
            </w:r>
          </w:p>
        </w:tc>
        <w:tc>
          <w:tcPr>
            <w:tcW w:w="2727" w:type="dxa"/>
            <w:vMerge w:val="restart"/>
            <w:tcBorders>
              <w:top w:val="nil"/>
              <w:left w:val="single" w:color="auto" w:sz="4" w:space="0"/>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未严格遵守安全操作规程，扣1分；在进行高空、池面、水下和受限空间等危险作业时，未采取有效保护措施，扣1分；从事危险作业无专人负责监护，扣1分，扣完为止。</w:t>
            </w:r>
          </w:p>
        </w:tc>
        <w:tc>
          <w:tcPr>
            <w:tcW w:w="989"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cs="Calibri"/>
                <w:sz w:val="18"/>
                <w:szCs w:val="18"/>
              </w:rPr>
            </w:pPr>
          </w:p>
        </w:tc>
      </w:tr>
      <w:tr>
        <w:tblPrEx>
          <w:tblCellMar>
            <w:top w:w="0" w:type="dxa"/>
            <w:left w:w="108" w:type="dxa"/>
            <w:bottom w:w="0" w:type="dxa"/>
            <w:right w:w="108" w:type="dxa"/>
          </w:tblCellMar>
        </w:tblPrEx>
        <w:trPr>
          <w:trHeight w:val="1365" w:hRule="atLeast"/>
          <w:jc w:val="center"/>
        </w:trPr>
        <w:tc>
          <w:tcPr>
            <w:tcW w:w="476" w:type="dxa"/>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6</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p>
        </w:tc>
        <w:tc>
          <w:tcPr>
            <w:tcW w:w="4647" w:type="dxa"/>
            <w:tcBorders>
              <w:top w:val="nil"/>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（2）在进行高空、池面、水下和受限空间等危险作业时，必须通知院方，应当有</w:t>
            </w:r>
            <w:r>
              <w:rPr>
                <w:rFonts w:hint="eastAsia" w:ascii="宋体" w:hAnsi="宋体"/>
                <w:sz w:val="18"/>
                <w:szCs w:val="18"/>
              </w:rPr>
              <w:t>双方</w:t>
            </w:r>
            <w:r>
              <w:rPr>
                <w:rFonts w:hint="eastAsia" w:ascii="宋体" w:hAnsi="宋体" w:cs="宋体"/>
                <w:sz w:val="18"/>
                <w:szCs w:val="18"/>
              </w:rPr>
              <w:t>专人进行监护，严格按照国家有关规定作业。</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Calibri"/>
                <w:sz w:val="18"/>
                <w:szCs w:val="18"/>
              </w:rPr>
            </w:pPr>
          </w:p>
        </w:tc>
        <w:tc>
          <w:tcPr>
            <w:tcW w:w="2727" w:type="dxa"/>
            <w:vMerge w:val="continue"/>
            <w:tcBorders>
              <w:top w:val="nil"/>
              <w:left w:val="single" w:color="auto" w:sz="4" w:space="0"/>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p>
        </w:tc>
        <w:tc>
          <w:tcPr>
            <w:tcW w:w="98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cs="Calibri"/>
                <w:sz w:val="18"/>
                <w:szCs w:val="18"/>
              </w:rPr>
            </w:pPr>
          </w:p>
        </w:tc>
      </w:tr>
      <w:tr>
        <w:tblPrEx>
          <w:tblCellMar>
            <w:top w:w="0" w:type="dxa"/>
            <w:left w:w="108" w:type="dxa"/>
            <w:bottom w:w="0" w:type="dxa"/>
            <w:right w:w="108" w:type="dxa"/>
          </w:tblCellMar>
        </w:tblPrEx>
        <w:trPr>
          <w:trHeight w:val="1783" w:hRule="atLeast"/>
          <w:jc w:val="center"/>
        </w:trPr>
        <w:tc>
          <w:tcPr>
            <w:tcW w:w="476" w:type="dxa"/>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7</w:t>
            </w:r>
          </w:p>
        </w:tc>
        <w:tc>
          <w:tcPr>
            <w:tcW w:w="1134" w:type="dxa"/>
            <w:vMerge w:val="restart"/>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运行台帐</w:t>
            </w:r>
          </w:p>
        </w:tc>
        <w:tc>
          <w:tcPr>
            <w:tcW w:w="4647" w:type="dxa"/>
            <w:tcBorders>
              <w:top w:val="single" w:color="auto" w:sz="4" w:space="0"/>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认真做好运行记录和统计报表，主要包括：设施设备及自控仪表（水质、水量、水位、仪表等）等运行记录和台帐；投放药剂情况、主要工艺参数控制记录；值班过程记录；记录、报表按时填写、准确无误、字迹清晰，并妥善保管，备院方检查。</w:t>
            </w:r>
          </w:p>
        </w:tc>
        <w:tc>
          <w:tcPr>
            <w:tcW w:w="709" w:type="dxa"/>
            <w:tcBorders>
              <w:top w:val="nil"/>
              <w:left w:val="nil"/>
              <w:bottom w:val="single" w:color="auto" w:sz="4" w:space="0"/>
              <w:right w:val="single" w:color="auto" w:sz="4" w:space="0"/>
            </w:tcBorders>
            <w:vAlign w:val="center"/>
          </w:tcPr>
          <w:p>
            <w:pPr>
              <w:widowControl/>
              <w:spacing w:line="276" w:lineRule="auto"/>
              <w:ind w:hanging="3"/>
              <w:jc w:val="center"/>
              <w:rPr>
                <w:rFonts w:hint="eastAsia" w:ascii="宋体" w:hAnsi="宋体" w:cs="Calibri"/>
                <w:sz w:val="18"/>
                <w:szCs w:val="18"/>
              </w:rPr>
            </w:pPr>
            <w:r>
              <w:rPr>
                <w:rFonts w:ascii="宋体" w:hAnsi="宋体" w:cs="Calibri"/>
                <w:sz w:val="18"/>
                <w:szCs w:val="18"/>
              </w:rPr>
              <w:t>10</w:t>
            </w:r>
          </w:p>
        </w:tc>
        <w:tc>
          <w:tcPr>
            <w:tcW w:w="2727" w:type="dxa"/>
            <w:tcBorders>
              <w:top w:val="nil"/>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台帐不及时填写，扣2分；报表有缺失，每发现一处扣2分；报表统计有误、不真实，每发现一处2分，扣完为止。</w:t>
            </w:r>
          </w:p>
        </w:tc>
        <w:tc>
          <w:tcPr>
            <w:tcW w:w="989" w:type="dxa"/>
            <w:tcBorders>
              <w:top w:val="nil"/>
              <w:left w:val="nil"/>
              <w:bottom w:val="single" w:color="auto" w:sz="4" w:space="0"/>
              <w:right w:val="single" w:color="auto" w:sz="4" w:space="0"/>
            </w:tcBorders>
            <w:vAlign w:val="center"/>
          </w:tcPr>
          <w:p>
            <w:pPr>
              <w:widowControl/>
              <w:spacing w:line="276" w:lineRule="auto"/>
              <w:jc w:val="center"/>
              <w:rPr>
                <w:rFonts w:hint="eastAsia" w:ascii="宋体" w:hAnsi="宋体" w:cs="Calibri"/>
                <w:sz w:val="18"/>
                <w:szCs w:val="18"/>
              </w:rPr>
            </w:pPr>
          </w:p>
        </w:tc>
      </w:tr>
      <w:tr>
        <w:tblPrEx>
          <w:tblCellMar>
            <w:top w:w="0" w:type="dxa"/>
            <w:left w:w="108" w:type="dxa"/>
            <w:bottom w:w="0" w:type="dxa"/>
            <w:right w:w="108" w:type="dxa"/>
          </w:tblCellMar>
        </w:tblPrEx>
        <w:trPr>
          <w:trHeight w:val="454" w:hRule="atLeast"/>
          <w:jc w:val="center"/>
        </w:trPr>
        <w:tc>
          <w:tcPr>
            <w:tcW w:w="476" w:type="dxa"/>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8</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p>
        </w:tc>
        <w:tc>
          <w:tcPr>
            <w:tcW w:w="4647" w:type="dxa"/>
            <w:tcBorders>
              <w:top w:val="single" w:color="auto" w:sz="4" w:space="0"/>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运行管理人员或操作人员应按规定定期巡检（每天一次）构筑物（调节池、反应池等）、设备（提升泵、机械格栅、鼓风机、消毒装置、推流装置等）、仪表（流量计、液位计、余氯检测仪等）等的运行情况，并做好记录，发现异常情况，应按照规定程序及时处理。</w:t>
            </w:r>
          </w:p>
        </w:tc>
        <w:tc>
          <w:tcPr>
            <w:tcW w:w="709" w:type="dxa"/>
            <w:tcBorders>
              <w:top w:val="single" w:color="auto" w:sz="4" w:space="0"/>
              <w:left w:val="nil"/>
              <w:bottom w:val="single" w:color="auto" w:sz="4" w:space="0"/>
              <w:right w:val="single" w:color="auto" w:sz="4" w:space="0"/>
            </w:tcBorders>
            <w:vAlign w:val="center"/>
          </w:tcPr>
          <w:p>
            <w:pPr>
              <w:widowControl/>
              <w:spacing w:line="276" w:lineRule="auto"/>
              <w:ind w:hanging="3"/>
              <w:jc w:val="center"/>
              <w:rPr>
                <w:rFonts w:hint="eastAsia" w:ascii="宋体" w:hAnsi="宋体" w:cs="Calibri"/>
                <w:sz w:val="18"/>
                <w:szCs w:val="18"/>
              </w:rPr>
            </w:pPr>
            <w:r>
              <w:rPr>
                <w:rFonts w:ascii="宋体" w:hAnsi="宋体" w:cs="Calibri"/>
                <w:sz w:val="18"/>
                <w:szCs w:val="18"/>
              </w:rPr>
              <w:t>10</w:t>
            </w:r>
          </w:p>
        </w:tc>
        <w:tc>
          <w:tcPr>
            <w:tcW w:w="2727" w:type="dxa"/>
            <w:tcBorders>
              <w:top w:val="single" w:color="auto" w:sz="4" w:space="0"/>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现场进行检查记录，无巡检记录不得分，记录不清晰每处扣2分，发生异常情况，未及时处理扣2分。</w:t>
            </w:r>
          </w:p>
        </w:tc>
        <w:tc>
          <w:tcPr>
            <w:tcW w:w="98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hint="eastAsia" w:ascii="宋体" w:hAnsi="宋体" w:cs="Calibri"/>
                <w:sz w:val="18"/>
                <w:szCs w:val="18"/>
              </w:rPr>
            </w:pPr>
          </w:p>
        </w:tc>
      </w:tr>
      <w:tr>
        <w:tblPrEx>
          <w:tblCellMar>
            <w:top w:w="0" w:type="dxa"/>
            <w:left w:w="108" w:type="dxa"/>
            <w:bottom w:w="0" w:type="dxa"/>
            <w:right w:w="108" w:type="dxa"/>
          </w:tblCellMar>
        </w:tblPrEx>
        <w:trPr>
          <w:trHeight w:val="870" w:hRule="atLeast"/>
          <w:jc w:val="center"/>
        </w:trPr>
        <w:tc>
          <w:tcPr>
            <w:tcW w:w="476" w:type="dxa"/>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9</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p>
        </w:tc>
        <w:tc>
          <w:tcPr>
            <w:tcW w:w="4647" w:type="dxa"/>
            <w:tcBorders>
              <w:top w:val="nil"/>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运行管理、操作和维护人员应按要求每日巡视检查电器设施、设备的运行状况并做好记录</w:t>
            </w:r>
          </w:p>
        </w:tc>
        <w:tc>
          <w:tcPr>
            <w:tcW w:w="709" w:type="dxa"/>
            <w:vMerge w:val="restart"/>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Calibri"/>
                <w:sz w:val="18"/>
                <w:szCs w:val="18"/>
              </w:rPr>
            </w:pPr>
            <w:r>
              <w:rPr>
                <w:rFonts w:ascii="宋体" w:hAnsi="宋体" w:cs="Calibri"/>
                <w:sz w:val="18"/>
                <w:szCs w:val="18"/>
              </w:rPr>
              <w:t>8</w:t>
            </w:r>
          </w:p>
        </w:tc>
        <w:tc>
          <w:tcPr>
            <w:tcW w:w="2727" w:type="dxa"/>
            <w:vMerge w:val="restart"/>
            <w:tcBorders>
              <w:top w:val="nil"/>
              <w:left w:val="single" w:color="auto" w:sz="4" w:space="0"/>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现场检查，无电器设备、管线、雨水管网检查记录不得分，记录不规范每处扣2分。</w:t>
            </w:r>
          </w:p>
        </w:tc>
        <w:tc>
          <w:tcPr>
            <w:tcW w:w="989" w:type="dxa"/>
            <w:vMerge w:val="restart"/>
            <w:tcBorders>
              <w:top w:val="nil"/>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cs="Calibri"/>
                <w:sz w:val="18"/>
                <w:szCs w:val="18"/>
              </w:rPr>
            </w:pPr>
          </w:p>
        </w:tc>
      </w:tr>
      <w:tr>
        <w:tblPrEx>
          <w:tblCellMar>
            <w:top w:w="0" w:type="dxa"/>
            <w:left w:w="108" w:type="dxa"/>
            <w:bottom w:w="0" w:type="dxa"/>
            <w:right w:w="108" w:type="dxa"/>
          </w:tblCellMar>
        </w:tblPrEx>
        <w:trPr>
          <w:trHeight w:val="454" w:hRule="atLeast"/>
          <w:jc w:val="center"/>
        </w:trPr>
        <w:tc>
          <w:tcPr>
            <w:tcW w:w="476" w:type="dxa"/>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1</w:t>
            </w:r>
            <w:r>
              <w:rPr>
                <w:rFonts w:ascii="宋体" w:hAnsi="宋体" w:cs="宋体"/>
                <w:sz w:val="18"/>
                <w:szCs w:val="18"/>
              </w:rPr>
              <w:t>0</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p>
        </w:tc>
        <w:tc>
          <w:tcPr>
            <w:tcW w:w="4647" w:type="dxa"/>
            <w:tcBorders>
              <w:top w:val="nil"/>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对污水处理站的各种管线、雨水管网应定期进行检查和维护，并做好记录。</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Calibri"/>
                <w:sz w:val="18"/>
                <w:szCs w:val="18"/>
              </w:rPr>
            </w:pPr>
          </w:p>
        </w:tc>
        <w:tc>
          <w:tcPr>
            <w:tcW w:w="2727" w:type="dxa"/>
            <w:vMerge w:val="continue"/>
            <w:tcBorders>
              <w:top w:val="nil"/>
              <w:left w:val="single" w:color="auto" w:sz="4" w:space="0"/>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p>
        </w:tc>
        <w:tc>
          <w:tcPr>
            <w:tcW w:w="989" w:type="dxa"/>
            <w:vMerge w:val="continue"/>
            <w:tcBorders>
              <w:top w:val="nil"/>
              <w:left w:val="single" w:color="auto" w:sz="4" w:space="0"/>
              <w:bottom w:val="single" w:color="auto" w:sz="4" w:space="0"/>
              <w:right w:val="single" w:color="auto" w:sz="4" w:space="0"/>
            </w:tcBorders>
            <w:vAlign w:val="center"/>
          </w:tcPr>
          <w:p>
            <w:pPr>
              <w:widowControl/>
              <w:spacing w:line="276" w:lineRule="auto"/>
              <w:jc w:val="center"/>
              <w:rPr>
                <w:rFonts w:hint="eastAsia" w:ascii="宋体" w:hAnsi="宋体" w:cs="Calibri"/>
                <w:sz w:val="18"/>
                <w:szCs w:val="18"/>
              </w:rPr>
            </w:pPr>
          </w:p>
        </w:tc>
      </w:tr>
      <w:tr>
        <w:tblPrEx>
          <w:tblCellMar>
            <w:top w:w="0" w:type="dxa"/>
            <w:left w:w="108" w:type="dxa"/>
            <w:bottom w:w="0" w:type="dxa"/>
            <w:right w:w="108" w:type="dxa"/>
          </w:tblCellMar>
        </w:tblPrEx>
        <w:trPr>
          <w:trHeight w:val="362" w:hRule="atLeast"/>
          <w:jc w:val="center"/>
        </w:trPr>
        <w:tc>
          <w:tcPr>
            <w:tcW w:w="476" w:type="dxa"/>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1</w:t>
            </w:r>
            <w:r>
              <w:rPr>
                <w:rFonts w:ascii="宋体" w:hAnsi="宋体" w:cs="宋体"/>
                <w:sz w:val="18"/>
                <w:szCs w:val="18"/>
              </w:rPr>
              <w:t>1</w:t>
            </w:r>
          </w:p>
        </w:tc>
        <w:tc>
          <w:tcPr>
            <w:tcW w:w="1134" w:type="dxa"/>
            <w:vMerge w:val="restart"/>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设备保养</w:t>
            </w:r>
          </w:p>
        </w:tc>
        <w:tc>
          <w:tcPr>
            <w:tcW w:w="4647" w:type="dxa"/>
            <w:tcBorders>
              <w:top w:val="nil"/>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应配置人员每月负责设备的维护、保养、检查、维修、故障鉴定、更新等设备管理工作。</w:t>
            </w:r>
          </w:p>
        </w:tc>
        <w:tc>
          <w:tcPr>
            <w:tcW w:w="709" w:type="dxa"/>
            <w:tcBorders>
              <w:top w:val="nil"/>
              <w:left w:val="nil"/>
              <w:bottom w:val="single" w:color="auto" w:sz="4" w:space="0"/>
              <w:right w:val="single" w:color="auto" w:sz="4" w:space="0"/>
            </w:tcBorders>
            <w:vAlign w:val="center"/>
          </w:tcPr>
          <w:p>
            <w:pPr>
              <w:widowControl/>
              <w:spacing w:line="276" w:lineRule="auto"/>
              <w:ind w:hanging="3"/>
              <w:jc w:val="center"/>
              <w:rPr>
                <w:rFonts w:hint="eastAsia" w:ascii="宋体" w:hAnsi="宋体" w:cs="Calibri"/>
                <w:sz w:val="18"/>
                <w:szCs w:val="18"/>
              </w:rPr>
            </w:pPr>
            <w:r>
              <w:rPr>
                <w:rFonts w:hint="eastAsia" w:ascii="宋体" w:hAnsi="宋体" w:cs="Calibri"/>
                <w:sz w:val="18"/>
                <w:szCs w:val="18"/>
              </w:rPr>
              <w:t>4</w:t>
            </w:r>
          </w:p>
        </w:tc>
        <w:tc>
          <w:tcPr>
            <w:tcW w:w="2727" w:type="dxa"/>
            <w:tcBorders>
              <w:top w:val="nil"/>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现场进行检查，无设备保养此项扣4分。</w:t>
            </w:r>
          </w:p>
        </w:tc>
        <w:tc>
          <w:tcPr>
            <w:tcW w:w="989" w:type="dxa"/>
            <w:tcBorders>
              <w:top w:val="nil"/>
              <w:left w:val="nil"/>
              <w:bottom w:val="single" w:color="auto" w:sz="4" w:space="0"/>
              <w:right w:val="single" w:color="auto" w:sz="4" w:space="0"/>
            </w:tcBorders>
            <w:vAlign w:val="center"/>
          </w:tcPr>
          <w:p>
            <w:pPr>
              <w:widowControl/>
              <w:spacing w:line="276" w:lineRule="auto"/>
              <w:jc w:val="center"/>
              <w:rPr>
                <w:rFonts w:hint="eastAsia" w:ascii="宋体" w:hAnsi="宋体" w:cs="Calibri"/>
                <w:sz w:val="18"/>
                <w:szCs w:val="18"/>
              </w:rPr>
            </w:pPr>
          </w:p>
        </w:tc>
      </w:tr>
      <w:tr>
        <w:tblPrEx>
          <w:tblCellMar>
            <w:top w:w="0" w:type="dxa"/>
            <w:left w:w="108" w:type="dxa"/>
            <w:bottom w:w="0" w:type="dxa"/>
            <w:right w:w="108" w:type="dxa"/>
          </w:tblCellMar>
        </w:tblPrEx>
        <w:trPr>
          <w:trHeight w:val="823" w:hRule="atLeast"/>
          <w:jc w:val="center"/>
        </w:trPr>
        <w:tc>
          <w:tcPr>
            <w:tcW w:w="476" w:type="dxa"/>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1</w:t>
            </w:r>
            <w:r>
              <w:rPr>
                <w:rFonts w:ascii="宋体" w:hAnsi="宋体" w:cs="宋体"/>
                <w:sz w:val="18"/>
                <w:szCs w:val="18"/>
              </w:rPr>
              <w:t>2</w:t>
            </w:r>
          </w:p>
        </w:tc>
        <w:tc>
          <w:tcPr>
            <w:tcW w:w="1134" w:type="dxa"/>
            <w:vMerge w:val="continue"/>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p>
        </w:tc>
        <w:tc>
          <w:tcPr>
            <w:tcW w:w="4647" w:type="dxa"/>
            <w:tcBorders>
              <w:top w:val="nil"/>
              <w:left w:val="nil"/>
              <w:bottom w:val="single" w:color="auto" w:sz="4" w:space="0"/>
              <w:right w:val="single" w:color="auto" w:sz="4" w:space="0"/>
            </w:tcBorders>
            <w:vAlign w:val="center"/>
          </w:tcPr>
          <w:p>
            <w:pPr>
              <w:spacing w:line="276" w:lineRule="auto"/>
              <w:ind w:hanging="3"/>
              <w:rPr>
                <w:rFonts w:hint="eastAsia" w:ascii="宋体" w:hAnsi="宋体" w:cs="宋体"/>
                <w:color w:val="FF0000"/>
                <w:sz w:val="18"/>
                <w:szCs w:val="18"/>
              </w:rPr>
            </w:pPr>
            <w:r>
              <w:rPr>
                <w:rFonts w:hint="eastAsia" w:ascii="宋体" w:hAnsi="宋体" w:cs="宋体"/>
                <w:sz w:val="18"/>
                <w:szCs w:val="18"/>
              </w:rPr>
              <w:t>制定合理的设备月度和年度检修计划、更新改造计划，并提交院方相关部门。</w:t>
            </w:r>
          </w:p>
        </w:tc>
        <w:tc>
          <w:tcPr>
            <w:tcW w:w="709" w:type="dxa"/>
            <w:tcBorders>
              <w:top w:val="nil"/>
              <w:left w:val="nil"/>
              <w:bottom w:val="single" w:color="auto" w:sz="4" w:space="0"/>
              <w:right w:val="single" w:color="auto" w:sz="4" w:space="0"/>
            </w:tcBorders>
            <w:vAlign w:val="center"/>
          </w:tcPr>
          <w:p>
            <w:pPr>
              <w:spacing w:line="276" w:lineRule="auto"/>
              <w:ind w:hanging="3"/>
              <w:jc w:val="center"/>
              <w:rPr>
                <w:rFonts w:hint="eastAsia" w:ascii="宋体" w:hAnsi="宋体" w:cs="Calibri"/>
                <w:color w:val="FF0000"/>
                <w:sz w:val="18"/>
                <w:szCs w:val="18"/>
              </w:rPr>
            </w:pPr>
            <w:r>
              <w:rPr>
                <w:rFonts w:hint="eastAsia" w:ascii="宋体" w:hAnsi="宋体" w:cs="Calibri"/>
                <w:sz w:val="18"/>
                <w:szCs w:val="18"/>
              </w:rPr>
              <w:t>6</w:t>
            </w:r>
          </w:p>
        </w:tc>
        <w:tc>
          <w:tcPr>
            <w:tcW w:w="2727" w:type="dxa"/>
            <w:tcBorders>
              <w:top w:val="nil"/>
              <w:left w:val="nil"/>
              <w:bottom w:val="single" w:color="auto" w:sz="4" w:space="0"/>
              <w:right w:val="single" w:color="auto" w:sz="4" w:space="0"/>
            </w:tcBorders>
            <w:vAlign w:val="center"/>
          </w:tcPr>
          <w:p>
            <w:pPr>
              <w:spacing w:line="276" w:lineRule="auto"/>
              <w:ind w:hanging="3"/>
              <w:rPr>
                <w:rFonts w:hint="eastAsia" w:ascii="宋体" w:hAnsi="宋体" w:cs="宋体"/>
                <w:color w:val="FF0000"/>
                <w:sz w:val="18"/>
                <w:szCs w:val="18"/>
              </w:rPr>
            </w:pPr>
            <w:r>
              <w:rPr>
                <w:rFonts w:hint="eastAsia" w:ascii="宋体" w:hAnsi="宋体" w:cs="宋体"/>
                <w:sz w:val="18"/>
                <w:szCs w:val="18"/>
              </w:rPr>
              <w:t>无检修计划此项不得分，检修不及时每发现一次扣2分。</w:t>
            </w:r>
          </w:p>
        </w:tc>
        <w:tc>
          <w:tcPr>
            <w:tcW w:w="98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hint="eastAsia" w:ascii="宋体" w:hAnsi="宋体" w:cs="Calibri"/>
                <w:sz w:val="18"/>
                <w:szCs w:val="18"/>
              </w:rPr>
            </w:pPr>
          </w:p>
        </w:tc>
      </w:tr>
      <w:tr>
        <w:tblPrEx>
          <w:tblCellMar>
            <w:top w:w="0" w:type="dxa"/>
            <w:left w:w="108" w:type="dxa"/>
            <w:bottom w:w="0" w:type="dxa"/>
            <w:right w:w="108" w:type="dxa"/>
          </w:tblCellMar>
        </w:tblPrEx>
        <w:trPr>
          <w:trHeight w:val="454"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1</w:t>
            </w:r>
            <w:r>
              <w:rPr>
                <w:rFonts w:ascii="宋体" w:hAnsi="宋体" w:cs="宋体"/>
                <w:sz w:val="18"/>
                <w:szCs w:val="18"/>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设备运行、水质要求</w:t>
            </w:r>
          </w:p>
        </w:tc>
        <w:tc>
          <w:tcPr>
            <w:tcW w:w="4647" w:type="dxa"/>
            <w:tcBorders>
              <w:top w:val="single" w:color="auto" w:sz="4" w:space="0"/>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在生产运行中使污水处理设施和设备经常处于最佳运行状态，做到达标排放。确保进场的污水100%经过处理，不得擅自减产、停产，不得对周边居民生活及环境造成严重影响。</w:t>
            </w:r>
          </w:p>
        </w:tc>
        <w:tc>
          <w:tcPr>
            <w:tcW w:w="709" w:type="dxa"/>
            <w:tcBorders>
              <w:top w:val="single" w:color="auto" w:sz="4" w:space="0"/>
              <w:left w:val="nil"/>
              <w:bottom w:val="single" w:color="auto" w:sz="4" w:space="0"/>
              <w:right w:val="single" w:color="auto" w:sz="4" w:space="0"/>
            </w:tcBorders>
            <w:vAlign w:val="center"/>
          </w:tcPr>
          <w:p>
            <w:pPr>
              <w:widowControl/>
              <w:spacing w:line="276" w:lineRule="auto"/>
              <w:ind w:hanging="3"/>
              <w:jc w:val="center"/>
              <w:rPr>
                <w:rFonts w:hint="eastAsia" w:ascii="宋体" w:hAnsi="宋体" w:cs="Calibri"/>
                <w:sz w:val="18"/>
                <w:szCs w:val="18"/>
              </w:rPr>
            </w:pPr>
            <w:r>
              <w:rPr>
                <w:rFonts w:hint="eastAsia" w:ascii="宋体" w:hAnsi="宋体" w:cs="Calibri"/>
                <w:sz w:val="18"/>
                <w:szCs w:val="18"/>
              </w:rPr>
              <w:t>4</w:t>
            </w:r>
          </w:p>
        </w:tc>
        <w:tc>
          <w:tcPr>
            <w:tcW w:w="2727" w:type="dxa"/>
            <w:tcBorders>
              <w:top w:val="single" w:color="auto" w:sz="4" w:space="0"/>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污水处理设施和设备出现不上报扣1分。</w:t>
            </w:r>
          </w:p>
        </w:tc>
        <w:tc>
          <w:tcPr>
            <w:tcW w:w="98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hint="eastAsia" w:ascii="宋体" w:hAnsi="宋体" w:cs="Calibri"/>
                <w:sz w:val="18"/>
                <w:szCs w:val="18"/>
              </w:rPr>
            </w:pPr>
          </w:p>
        </w:tc>
      </w:tr>
      <w:tr>
        <w:tblPrEx>
          <w:tblCellMar>
            <w:top w:w="0" w:type="dxa"/>
            <w:left w:w="108" w:type="dxa"/>
            <w:bottom w:w="0" w:type="dxa"/>
            <w:right w:w="108" w:type="dxa"/>
          </w:tblCellMar>
        </w:tblPrEx>
        <w:trPr>
          <w:trHeight w:val="3801" w:hRule="atLeast"/>
          <w:jc w:val="center"/>
        </w:trPr>
        <w:tc>
          <w:tcPr>
            <w:tcW w:w="476" w:type="dxa"/>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1</w:t>
            </w:r>
            <w:r>
              <w:rPr>
                <w:rFonts w:ascii="宋体" w:hAnsi="宋体" w:cs="宋体"/>
                <w:sz w:val="18"/>
                <w:szCs w:val="18"/>
              </w:rPr>
              <w:t>4</w:t>
            </w:r>
          </w:p>
        </w:tc>
        <w:tc>
          <w:tcPr>
            <w:tcW w:w="1134" w:type="dxa"/>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水质报表</w:t>
            </w:r>
          </w:p>
        </w:tc>
        <w:tc>
          <w:tcPr>
            <w:tcW w:w="4647" w:type="dxa"/>
            <w:tcBorders>
              <w:top w:val="nil"/>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按周期进行日、月、半年和年度进、出水水质检测报表，做到规范、完整、真实。每日监测：PH值2次、活性氧含量2次；每天监测：COD、SS、余氯、PH、等常规项目；每月监测：由第三方检测公司检测粪大肠杆菌群数；每周检测：C</w:t>
            </w:r>
            <w:r>
              <w:rPr>
                <w:rFonts w:ascii="宋体" w:hAnsi="宋体" w:cs="宋体"/>
                <w:sz w:val="18"/>
                <w:szCs w:val="18"/>
              </w:rPr>
              <w:t>OD</w:t>
            </w:r>
            <w:r>
              <w:rPr>
                <w:rFonts w:hint="eastAsia" w:ascii="宋体" w:hAnsi="宋体" w:cs="宋体"/>
                <w:sz w:val="18"/>
                <w:szCs w:val="18"/>
              </w:rPr>
              <w:t>、S</w:t>
            </w:r>
            <w:r>
              <w:rPr>
                <w:rFonts w:ascii="宋体" w:hAnsi="宋体" w:cs="宋体"/>
                <w:sz w:val="18"/>
                <w:szCs w:val="18"/>
              </w:rPr>
              <w:t>S</w:t>
            </w:r>
            <w:r>
              <w:rPr>
                <w:rFonts w:hint="eastAsia" w:ascii="宋体" w:hAnsi="宋体" w:cs="宋体"/>
                <w:sz w:val="18"/>
                <w:szCs w:val="18"/>
              </w:rPr>
              <w:t>；每季度检测：沙门氏菌、志贺氏菌、色度、五日生化需氧量、阴离子表面活性剂、总氮（以N计）、石油类、动植物油、总氰化物、挥发酚；每季度检测废气：甲烷、臭气浓度、氨（氨气）、氯气、硫化氢）；每季度噪声检测（昼间/夜间）；以上监测未提及的项目以《医疗机构水污染物排放标准》 GB18466-2005预处理标准为标准执行。</w:t>
            </w:r>
          </w:p>
        </w:tc>
        <w:tc>
          <w:tcPr>
            <w:tcW w:w="709" w:type="dxa"/>
            <w:tcBorders>
              <w:top w:val="nil"/>
              <w:left w:val="nil"/>
              <w:bottom w:val="single" w:color="auto" w:sz="4" w:space="0"/>
              <w:right w:val="single" w:color="auto" w:sz="4" w:space="0"/>
            </w:tcBorders>
            <w:vAlign w:val="center"/>
          </w:tcPr>
          <w:p>
            <w:pPr>
              <w:widowControl/>
              <w:spacing w:line="276" w:lineRule="auto"/>
              <w:ind w:hanging="3"/>
              <w:jc w:val="center"/>
              <w:rPr>
                <w:rFonts w:hint="eastAsia" w:ascii="宋体" w:hAnsi="宋体" w:cs="Calibri"/>
                <w:sz w:val="18"/>
                <w:szCs w:val="18"/>
              </w:rPr>
            </w:pPr>
            <w:r>
              <w:rPr>
                <w:rFonts w:ascii="宋体" w:hAnsi="宋体" w:cs="Calibri"/>
                <w:sz w:val="18"/>
                <w:szCs w:val="18"/>
              </w:rPr>
              <w:t>10</w:t>
            </w:r>
          </w:p>
        </w:tc>
        <w:tc>
          <w:tcPr>
            <w:tcW w:w="2727" w:type="dxa"/>
            <w:tcBorders>
              <w:top w:val="nil"/>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水质检测项目未按周期进行检测的，每项次扣2分；检测报表不真实，每处扣2分；抽检水质报告有一项不合格，扣8分。</w:t>
            </w:r>
          </w:p>
        </w:tc>
        <w:tc>
          <w:tcPr>
            <w:tcW w:w="989" w:type="dxa"/>
            <w:tcBorders>
              <w:top w:val="nil"/>
              <w:left w:val="nil"/>
              <w:bottom w:val="single" w:color="auto" w:sz="4" w:space="0"/>
              <w:right w:val="single" w:color="auto" w:sz="4" w:space="0"/>
            </w:tcBorders>
            <w:vAlign w:val="center"/>
          </w:tcPr>
          <w:p>
            <w:pPr>
              <w:widowControl/>
              <w:spacing w:line="276" w:lineRule="auto"/>
              <w:jc w:val="center"/>
              <w:rPr>
                <w:rFonts w:hint="eastAsia" w:ascii="宋体" w:hAnsi="宋体" w:cs="Calibri"/>
                <w:sz w:val="18"/>
                <w:szCs w:val="18"/>
              </w:rPr>
            </w:pPr>
          </w:p>
        </w:tc>
      </w:tr>
      <w:tr>
        <w:tblPrEx>
          <w:tblCellMar>
            <w:top w:w="0" w:type="dxa"/>
            <w:left w:w="108" w:type="dxa"/>
            <w:bottom w:w="0" w:type="dxa"/>
            <w:right w:w="108" w:type="dxa"/>
          </w:tblCellMar>
        </w:tblPrEx>
        <w:trPr>
          <w:trHeight w:val="454" w:hRule="atLeast"/>
          <w:jc w:val="center"/>
        </w:trPr>
        <w:tc>
          <w:tcPr>
            <w:tcW w:w="476" w:type="dxa"/>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1</w:t>
            </w:r>
            <w:r>
              <w:rPr>
                <w:rFonts w:ascii="宋体" w:hAnsi="宋体" w:cs="宋体"/>
                <w:sz w:val="18"/>
                <w:szCs w:val="18"/>
              </w:rPr>
              <w:t>5</w:t>
            </w:r>
          </w:p>
        </w:tc>
        <w:tc>
          <w:tcPr>
            <w:tcW w:w="1134" w:type="dxa"/>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废物管理</w:t>
            </w:r>
          </w:p>
        </w:tc>
        <w:tc>
          <w:tcPr>
            <w:tcW w:w="4647" w:type="dxa"/>
            <w:tcBorders>
              <w:top w:val="nil"/>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对生产过程中产生的废液、废渣以及有毒、有害物质应按当地管理部门要求妥善处理、处置，并及时清洗其堆放处。</w:t>
            </w:r>
          </w:p>
        </w:tc>
        <w:tc>
          <w:tcPr>
            <w:tcW w:w="709" w:type="dxa"/>
            <w:tcBorders>
              <w:top w:val="nil"/>
              <w:left w:val="nil"/>
              <w:bottom w:val="single" w:color="auto" w:sz="4" w:space="0"/>
              <w:right w:val="single" w:color="auto" w:sz="4" w:space="0"/>
            </w:tcBorders>
            <w:vAlign w:val="center"/>
          </w:tcPr>
          <w:p>
            <w:pPr>
              <w:widowControl/>
              <w:spacing w:line="276" w:lineRule="auto"/>
              <w:ind w:hanging="3"/>
              <w:jc w:val="center"/>
              <w:rPr>
                <w:rFonts w:hint="eastAsia" w:ascii="宋体" w:hAnsi="宋体" w:cs="Calibri"/>
                <w:sz w:val="18"/>
                <w:szCs w:val="18"/>
              </w:rPr>
            </w:pPr>
            <w:r>
              <w:rPr>
                <w:rFonts w:hint="eastAsia" w:ascii="宋体" w:hAnsi="宋体" w:cs="Calibri"/>
                <w:sz w:val="18"/>
                <w:szCs w:val="18"/>
              </w:rPr>
              <w:t>6</w:t>
            </w:r>
          </w:p>
        </w:tc>
        <w:tc>
          <w:tcPr>
            <w:tcW w:w="2727" w:type="dxa"/>
            <w:tcBorders>
              <w:top w:val="nil"/>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检查现场处理情况，处理不及每处时扣1分，处理不妥善每处扣2分。</w:t>
            </w:r>
          </w:p>
        </w:tc>
        <w:tc>
          <w:tcPr>
            <w:tcW w:w="989" w:type="dxa"/>
            <w:tcBorders>
              <w:top w:val="nil"/>
              <w:left w:val="nil"/>
              <w:bottom w:val="single" w:color="auto" w:sz="4" w:space="0"/>
              <w:right w:val="single" w:color="auto" w:sz="4" w:space="0"/>
            </w:tcBorders>
            <w:vAlign w:val="center"/>
          </w:tcPr>
          <w:p>
            <w:pPr>
              <w:widowControl/>
              <w:spacing w:line="276" w:lineRule="auto"/>
              <w:jc w:val="center"/>
              <w:rPr>
                <w:rFonts w:hint="eastAsia" w:ascii="宋体" w:hAnsi="宋体" w:cs="Calibri"/>
                <w:sz w:val="18"/>
                <w:szCs w:val="18"/>
              </w:rPr>
            </w:pPr>
          </w:p>
        </w:tc>
      </w:tr>
      <w:tr>
        <w:tblPrEx>
          <w:tblCellMar>
            <w:top w:w="0" w:type="dxa"/>
            <w:left w:w="108" w:type="dxa"/>
            <w:bottom w:w="0" w:type="dxa"/>
            <w:right w:w="108" w:type="dxa"/>
          </w:tblCellMar>
        </w:tblPrEx>
        <w:trPr>
          <w:trHeight w:val="454" w:hRule="atLeast"/>
          <w:jc w:val="center"/>
        </w:trPr>
        <w:tc>
          <w:tcPr>
            <w:tcW w:w="476" w:type="dxa"/>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1</w:t>
            </w:r>
            <w:r>
              <w:rPr>
                <w:rFonts w:ascii="宋体" w:hAnsi="宋体" w:cs="宋体"/>
                <w:sz w:val="18"/>
                <w:szCs w:val="18"/>
              </w:rPr>
              <w:t>6</w:t>
            </w:r>
          </w:p>
        </w:tc>
        <w:tc>
          <w:tcPr>
            <w:tcW w:w="1134" w:type="dxa"/>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报表反馈</w:t>
            </w:r>
          </w:p>
        </w:tc>
        <w:tc>
          <w:tcPr>
            <w:tcW w:w="4647" w:type="dxa"/>
            <w:tcBorders>
              <w:top w:val="nil"/>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每月总结污水处理站基本情况，包含现场人员工作情况、药剂消耗情况、污水处理站运行情况、水质情况等、存在隐患及解决措施；并季度附上第三方检测公司水质检测报告，检测内容至少包含《医疗机构水污染物排放标准》GB18466-2005预处理标准或上级管理部门要求。</w:t>
            </w:r>
          </w:p>
        </w:tc>
        <w:tc>
          <w:tcPr>
            <w:tcW w:w="709" w:type="dxa"/>
            <w:tcBorders>
              <w:top w:val="nil"/>
              <w:left w:val="nil"/>
              <w:bottom w:val="single" w:color="auto" w:sz="4" w:space="0"/>
              <w:right w:val="single" w:color="auto" w:sz="4" w:space="0"/>
            </w:tcBorders>
            <w:vAlign w:val="center"/>
          </w:tcPr>
          <w:p>
            <w:pPr>
              <w:widowControl/>
              <w:spacing w:line="276" w:lineRule="auto"/>
              <w:ind w:hanging="3"/>
              <w:jc w:val="center"/>
              <w:rPr>
                <w:rFonts w:hint="eastAsia" w:ascii="宋体" w:hAnsi="宋体" w:cs="Calibri"/>
                <w:sz w:val="18"/>
                <w:szCs w:val="18"/>
              </w:rPr>
            </w:pPr>
            <w:r>
              <w:rPr>
                <w:rFonts w:ascii="宋体" w:hAnsi="宋体" w:cs="Calibri"/>
                <w:sz w:val="18"/>
                <w:szCs w:val="18"/>
              </w:rPr>
              <w:t>10</w:t>
            </w:r>
          </w:p>
        </w:tc>
        <w:tc>
          <w:tcPr>
            <w:tcW w:w="2727" w:type="dxa"/>
            <w:tcBorders>
              <w:top w:val="nil"/>
              <w:left w:val="nil"/>
              <w:bottom w:val="single" w:color="auto" w:sz="4" w:space="0"/>
              <w:right w:val="single" w:color="auto" w:sz="4" w:space="0"/>
            </w:tcBorders>
            <w:vAlign w:val="center"/>
          </w:tcPr>
          <w:p>
            <w:pPr>
              <w:widowControl/>
              <w:spacing w:line="276" w:lineRule="auto"/>
              <w:ind w:hanging="3"/>
              <w:rPr>
                <w:rFonts w:hint="eastAsia" w:ascii="宋体" w:hAnsi="宋体" w:cs="宋体"/>
                <w:sz w:val="18"/>
                <w:szCs w:val="18"/>
              </w:rPr>
            </w:pPr>
            <w:r>
              <w:rPr>
                <w:rFonts w:hint="eastAsia" w:ascii="宋体" w:hAnsi="宋体" w:cs="宋体"/>
                <w:sz w:val="18"/>
                <w:szCs w:val="18"/>
              </w:rPr>
              <w:t>每月无第三方水质检测报告扣10分，每月无工作记录表扣10分。</w:t>
            </w:r>
          </w:p>
        </w:tc>
        <w:tc>
          <w:tcPr>
            <w:tcW w:w="989" w:type="dxa"/>
            <w:tcBorders>
              <w:top w:val="nil"/>
              <w:left w:val="nil"/>
              <w:bottom w:val="single" w:color="auto" w:sz="4" w:space="0"/>
              <w:right w:val="single" w:color="auto" w:sz="4" w:space="0"/>
            </w:tcBorders>
            <w:vAlign w:val="center"/>
          </w:tcPr>
          <w:p>
            <w:pPr>
              <w:widowControl/>
              <w:spacing w:line="276" w:lineRule="auto"/>
              <w:jc w:val="center"/>
              <w:rPr>
                <w:rFonts w:hint="eastAsia" w:ascii="宋体" w:hAnsi="宋体" w:cs="Calibri"/>
                <w:sz w:val="18"/>
                <w:szCs w:val="18"/>
              </w:rPr>
            </w:pPr>
          </w:p>
        </w:tc>
      </w:tr>
      <w:tr>
        <w:tblPrEx>
          <w:tblCellMar>
            <w:top w:w="0" w:type="dxa"/>
            <w:left w:w="108" w:type="dxa"/>
            <w:bottom w:w="0" w:type="dxa"/>
            <w:right w:w="108" w:type="dxa"/>
          </w:tblCellMar>
        </w:tblPrEx>
        <w:trPr>
          <w:trHeight w:val="454" w:hRule="atLeast"/>
          <w:jc w:val="center"/>
        </w:trPr>
        <w:tc>
          <w:tcPr>
            <w:tcW w:w="476" w:type="dxa"/>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ascii="宋体" w:hAnsi="宋体" w:cs="宋体"/>
                <w:sz w:val="18"/>
                <w:szCs w:val="18"/>
              </w:rPr>
              <w:t>17</w:t>
            </w:r>
          </w:p>
        </w:tc>
        <w:tc>
          <w:tcPr>
            <w:tcW w:w="1134" w:type="dxa"/>
            <w:tcBorders>
              <w:top w:val="nil"/>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得分情况</w:t>
            </w:r>
          </w:p>
        </w:tc>
        <w:tc>
          <w:tcPr>
            <w:tcW w:w="4647" w:type="dxa"/>
            <w:tcBorders>
              <w:top w:val="nil"/>
              <w:left w:val="nil"/>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设计总分</w:t>
            </w:r>
          </w:p>
        </w:tc>
        <w:tc>
          <w:tcPr>
            <w:tcW w:w="709" w:type="dxa"/>
            <w:tcBorders>
              <w:top w:val="nil"/>
              <w:left w:val="nil"/>
              <w:bottom w:val="single" w:color="auto" w:sz="4" w:space="0"/>
              <w:right w:val="single" w:color="auto" w:sz="4" w:space="0"/>
            </w:tcBorders>
            <w:vAlign w:val="center"/>
          </w:tcPr>
          <w:p>
            <w:pPr>
              <w:widowControl/>
              <w:spacing w:line="276" w:lineRule="auto"/>
              <w:ind w:hanging="3"/>
              <w:jc w:val="center"/>
              <w:rPr>
                <w:rFonts w:hint="eastAsia" w:ascii="宋体" w:hAnsi="宋体" w:cs="Calibri"/>
                <w:sz w:val="18"/>
                <w:szCs w:val="18"/>
              </w:rPr>
            </w:pPr>
            <w:r>
              <w:rPr>
                <w:rFonts w:ascii="宋体" w:hAnsi="宋体" w:cs="Calibri"/>
                <w:sz w:val="18"/>
                <w:szCs w:val="18"/>
              </w:rPr>
              <w:fldChar w:fldCharType="begin"/>
            </w:r>
            <w:r>
              <w:rPr>
                <w:rFonts w:ascii="宋体" w:hAnsi="宋体" w:cs="Calibri"/>
                <w:sz w:val="18"/>
                <w:szCs w:val="18"/>
              </w:rPr>
              <w:instrText xml:space="preserve"> =SUM(ABOVE) </w:instrText>
            </w:r>
            <w:r>
              <w:rPr>
                <w:rFonts w:ascii="宋体" w:hAnsi="宋体" w:cs="Calibri"/>
                <w:sz w:val="18"/>
                <w:szCs w:val="18"/>
              </w:rPr>
              <w:fldChar w:fldCharType="separate"/>
            </w:r>
            <w:r>
              <w:rPr>
                <w:rFonts w:ascii="宋体" w:hAnsi="宋体" w:cs="Calibri"/>
                <w:sz w:val="18"/>
                <w:szCs w:val="18"/>
              </w:rPr>
              <w:t>100</w:t>
            </w:r>
            <w:r>
              <w:rPr>
                <w:rFonts w:ascii="宋体" w:hAnsi="宋体" w:cs="Calibri"/>
                <w:sz w:val="18"/>
                <w:szCs w:val="18"/>
              </w:rPr>
              <w:fldChar w:fldCharType="end"/>
            </w:r>
          </w:p>
        </w:tc>
        <w:tc>
          <w:tcPr>
            <w:tcW w:w="2727" w:type="dxa"/>
            <w:tcBorders>
              <w:top w:val="nil"/>
              <w:left w:val="nil"/>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实际得分</w:t>
            </w:r>
          </w:p>
        </w:tc>
        <w:tc>
          <w:tcPr>
            <w:tcW w:w="989" w:type="dxa"/>
            <w:tcBorders>
              <w:top w:val="nil"/>
              <w:left w:val="nil"/>
              <w:bottom w:val="single" w:color="auto" w:sz="4" w:space="0"/>
              <w:right w:val="single" w:color="auto" w:sz="4" w:space="0"/>
            </w:tcBorders>
            <w:vAlign w:val="center"/>
          </w:tcPr>
          <w:p>
            <w:pPr>
              <w:widowControl/>
              <w:spacing w:line="276" w:lineRule="auto"/>
              <w:jc w:val="center"/>
              <w:rPr>
                <w:rFonts w:hint="eastAsia" w:ascii="宋体" w:hAnsi="宋体" w:cs="Calibri"/>
                <w:sz w:val="18"/>
                <w:szCs w:val="18"/>
              </w:rPr>
            </w:pPr>
          </w:p>
        </w:tc>
      </w:tr>
      <w:tr>
        <w:tblPrEx>
          <w:tblCellMar>
            <w:top w:w="0" w:type="dxa"/>
            <w:left w:w="108" w:type="dxa"/>
            <w:bottom w:w="0" w:type="dxa"/>
            <w:right w:w="108" w:type="dxa"/>
          </w:tblCellMar>
        </w:tblPrEx>
        <w:trPr>
          <w:trHeight w:val="745"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hint="eastAsia" w:ascii="宋体" w:hAnsi="宋体" w:cs="宋体"/>
                <w:sz w:val="18"/>
                <w:szCs w:val="18"/>
              </w:rPr>
              <w:t>1</w:t>
            </w:r>
            <w:r>
              <w:rPr>
                <w:rFonts w:ascii="宋体" w:hAnsi="宋体" w:cs="宋体"/>
                <w:sz w:val="18"/>
                <w:szCs w:val="18"/>
              </w:rPr>
              <w:t>8</w:t>
            </w:r>
          </w:p>
        </w:tc>
        <w:tc>
          <w:tcPr>
            <w:tcW w:w="5781"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ind w:hanging="3"/>
              <w:jc w:val="left"/>
              <w:rPr>
                <w:rFonts w:hint="eastAsia" w:ascii="宋体" w:hAnsi="宋体" w:cs="宋体"/>
                <w:sz w:val="18"/>
                <w:szCs w:val="18"/>
              </w:rPr>
            </w:pPr>
            <w:r>
              <w:rPr>
                <w:rFonts w:hint="eastAsia" w:ascii="宋体" w:hAnsi="宋体" w:cs="宋体"/>
                <w:sz w:val="18"/>
                <w:szCs w:val="18"/>
              </w:rPr>
              <w:t>被考核人（考核意见）：</w:t>
            </w:r>
          </w:p>
        </w:tc>
        <w:tc>
          <w:tcPr>
            <w:tcW w:w="709" w:type="dxa"/>
            <w:tcBorders>
              <w:top w:val="single" w:color="auto" w:sz="4" w:space="0"/>
              <w:left w:val="nil"/>
              <w:bottom w:val="single" w:color="auto" w:sz="4" w:space="0"/>
              <w:right w:val="single" w:color="auto" w:sz="4" w:space="0"/>
            </w:tcBorders>
            <w:vAlign w:val="center"/>
          </w:tcPr>
          <w:p>
            <w:pPr>
              <w:widowControl/>
              <w:spacing w:line="276" w:lineRule="auto"/>
              <w:ind w:hanging="3"/>
              <w:jc w:val="center"/>
              <w:rPr>
                <w:rFonts w:hint="eastAsia" w:ascii="宋体" w:hAnsi="宋体" w:cs="Calibri"/>
                <w:sz w:val="18"/>
                <w:szCs w:val="18"/>
              </w:rPr>
            </w:pPr>
            <w:r>
              <w:rPr>
                <w:rFonts w:hint="eastAsia" w:ascii="宋体" w:hAnsi="宋体" w:cs="Calibri"/>
                <w:sz w:val="18"/>
                <w:szCs w:val="18"/>
              </w:rPr>
              <w:t>签字</w:t>
            </w:r>
          </w:p>
        </w:tc>
        <w:tc>
          <w:tcPr>
            <w:tcW w:w="2727" w:type="dxa"/>
            <w:tcBorders>
              <w:top w:val="single" w:color="auto" w:sz="4" w:space="0"/>
              <w:left w:val="nil"/>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p>
        </w:tc>
        <w:tc>
          <w:tcPr>
            <w:tcW w:w="98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hint="eastAsia" w:ascii="宋体" w:hAnsi="宋体" w:cs="Calibri"/>
                <w:sz w:val="18"/>
                <w:szCs w:val="18"/>
              </w:rPr>
            </w:pPr>
          </w:p>
        </w:tc>
      </w:tr>
      <w:tr>
        <w:tblPrEx>
          <w:tblCellMar>
            <w:top w:w="0" w:type="dxa"/>
            <w:left w:w="108" w:type="dxa"/>
            <w:bottom w:w="0" w:type="dxa"/>
            <w:right w:w="108" w:type="dxa"/>
          </w:tblCellMar>
        </w:tblPrEx>
        <w:trPr>
          <w:trHeight w:val="698" w:hRule="atLeast"/>
          <w:jc w:val="center"/>
        </w:trPr>
        <w:tc>
          <w:tcPr>
            <w:tcW w:w="476" w:type="dxa"/>
            <w:tcBorders>
              <w:top w:val="single" w:color="auto" w:sz="4" w:space="0"/>
              <w:left w:val="single" w:color="auto" w:sz="4" w:space="0"/>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r>
              <w:rPr>
                <w:rFonts w:ascii="宋体" w:hAnsi="宋体" w:cs="宋体"/>
                <w:sz w:val="18"/>
                <w:szCs w:val="18"/>
              </w:rPr>
              <w:t>19</w:t>
            </w:r>
          </w:p>
        </w:tc>
        <w:tc>
          <w:tcPr>
            <w:tcW w:w="5781" w:type="dxa"/>
            <w:gridSpan w:val="2"/>
            <w:tcBorders>
              <w:top w:val="single" w:color="auto" w:sz="4" w:space="0"/>
              <w:left w:val="single" w:color="auto" w:sz="4" w:space="0"/>
              <w:bottom w:val="single" w:color="auto" w:sz="4" w:space="0"/>
              <w:right w:val="single" w:color="auto" w:sz="4" w:space="0"/>
            </w:tcBorders>
            <w:vAlign w:val="center"/>
          </w:tcPr>
          <w:p>
            <w:pPr>
              <w:widowControl/>
              <w:spacing w:line="276" w:lineRule="auto"/>
              <w:ind w:hanging="3"/>
              <w:jc w:val="left"/>
              <w:rPr>
                <w:rFonts w:hint="eastAsia" w:ascii="宋体" w:hAnsi="宋体" w:cs="宋体"/>
                <w:sz w:val="18"/>
                <w:szCs w:val="18"/>
              </w:rPr>
            </w:pPr>
            <w:r>
              <w:rPr>
                <w:rFonts w:hint="eastAsia" w:ascii="宋体" w:hAnsi="宋体" w:cs="宋体"/>
                <w:sz w:val="18"/>
                <w:szCs w:val="18"/>
              </w:rPr>
              <w:t>考核人（考核意见）：</w:t>
            </w:r>
          </w:p>
        </w:tc>
        <w:tc>
          <w:tcPr>
            <w:tcW w:w="709" w:type="dxa"/>
            <w:tcBorders>
              <w:top w:val="single" w:color="auto" w:sz="4" w:space="0"/>
              <w:left w:val="nil"/>
              <w:bottom w:val="single" w:color="auto" w:sz="4" w:space="0"/>
              <w:right w:val="single" w:color="auto" w:sz="4" w:space="0"/>
            </w:tcBorders>
            <w:vAlign w:val="center"/>
          </w:tcPr>
          <w:p>
            <w:pPr>
              <w:widowControl/>
              <w:spacing w:line="276" w:lineRule="auto"/>
              <w:ind w:hanging="3"/>
              <w:jc w:val="center"/>
              <w:rPr>
                <w:rFonts w:hint="eastAsia" w:ascii="宋体" w:hAnsi="宋体" w:cs="Calibri"/>
                <w:sz w:val="18"/>
                <w:szCs w:val="18"/>
              </w:rPr>
            </w:pPr>
            <w:r>
              <w:rPr>
                <w:rFonts w:hint="eastAsia" w:ascii="宋体" w:hAnsi="宋体" w:cs="Calibri"/>
                <w:sz w:val="18"/>
                <w:szCs w:val="18"/>
              </w:rPr>
              <w:t>签字</w:t>
            </w:r>
          </w:p>
        </w:tc>
        <w:tc>
          <w:tcPr>
            <w:tcW w:w="2727" w:type="dxa"/>
            <w:tcBorders>
              <w:top w:val="single" w:color="auto" w:sz="4" w:space="0"/>
              <w:left w:val="nil"/>
              <w:bottom w:val="single" w:color="auto" w:sz="4" w:space="0"/>
              <w:right w:val="single" w:color="auto" w:sz="4" w:space="0"/>
            </w:tcBorders>
            <w:vAlign w:val="center"/>
          </w:tcPr>
          <w:p>
            <w:pPr>
              <w:widowControl/>
              <w:spacing w:line="276" w:lineRule="auto"/>
              <w:ind w:hanging="3"/>
              <w:jc w:val="center"/>
              <w:rPr>
                <w:rFonts w:hint="eastAsia" w:ascii="宋体" w:hAnsi="宋体" w:cs="宋体"/>
                <w:sz w:val="18"/>
                <w:szCs w:val="18"/>
              </w:rPr>
            </w:pPr>
          </w:p>
        </w:tc>
        <w:tc>
          <w:tcPr>
            <w:tcW w:w="989" w:type="dxa"/>
            <w:tcBorders>
              <w:top w:val="single" w:color="auto" w:sz="4" w:space="0"/>
              <w:left w:val="nil"/>
              <w:bottom w:val="single" w:color="auto" w:sz="4" w:space="0"/>
              <w:right w:val="single" w:color="auto" w:sz="4" w:space="0"/>
            </w:tcBorders>
            <w:vAlign w:val="center"/>
          </w:tcPr>
          <w:p>
            <w:pPr>
              <w:widowControl/>
              <w:spacing w:line="276" w:lineRule="auto"/>
              <w:jc w:val="center"/>
              <w:rPr>
                <w:rFonts w:hint="eastAsia" w:ascii="宋体" w:hAnsi="宋体" w:cs="Calibri"/>
                <w:sz w:val="18"/>
                <w:szCs w:val="18"/>
              </w:rPr>
            </w:pPr>
          </w:p>
        </w:tc>
      </w:tr>
    </w:tbl>
    <w:p>
      <w:pPr>
        <w:rPr>
          <w:rFonts w:hint="eastAsia" w:ascii="仿宋" w:hAnsi="仿宋" w:eastAsia="仿宋" w:cs="仿宋"/>
          <w:color w:val="000000"/>
          <w:szCs w:val="21"/>
        </w:rPr>
      </w:pPr>
      <w:r>
        <w:rPr>
          <w:rFonts w:hint="eastAsia" w:ascii="仿宋" w:hAnsi="仿宋" w:eastAsia="仿宋" w:cs="仿宋"/>
          <w:color w:val="000000"/>
          <w:szCs w:val="21"/>
        </w:rPr>
        <w:t>注：考核标准100分为满分；考核得分大于85分为合格；考核得分小于85分则每少一分扣200元。</w:t>
      </w:r>
    </w:p>
    <w:p>
      <w:pPr>
        <w:ind w:firstLine="0" w:firstLineChars="0"/>
        <w:rPr>
          <w:rFonts w:hint="default"/>
          <w:lang w:val="en-US" w:eastAsia="zh-CN"/>
        </w:rPr>
      </w:pPr>
    </w:p>
    <w:sectPr>
      <w:pgSz w:w="11906" w:h="16838"/>
      <w:pgMar w:top="1474" w:right="1644" w:bottom="1474" w:left="164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June." w:date="2024-10-12T10:21:26Z" w:initials="">
    <w:p w14:paraId="5FB77DFA">
      <w:pPr>
        <w:pStyle w:val="5"/>
        <w:rPr>
          <w:rFonts w:hint="default" w:eastAsia="宋体"/>
          <w:lang w:val="en-US" w:eastAsia="zh-CN"/>
        </w:rPr>
      </w:pPr>
      <w:r>
        <w:rPr>
          <w:rFonts w:hint="eastAsia"/>
          <w:lang w:val="en-US" w:eastAsia="zh-CN"/>
        </w:rPr>
        <w:t>这部分是否需要</w:t>
      </w:r>
    </w:p>
  </w:comment>
  <w:comment w:id="1" w:author="June." w:date="2024-10-12T10:14:10Z" w:initials="">
    <w:p w14:paraId="5DD060C2">
      <w:pPr>
        <w:pStyle w:val="5"/>
        <w:rPr>
          <w:rFonts w:hint="default" w:eastAsia="宋体"/>
          <w:lang w:val="en-US" w:eastAsia="zh-CN"/>
        </w:rPr>
      </w:pPr>
      <w:r>
        <w:rPr>
          <w:rFonts w:hint="eastAsia"/>
          <w:lang w:val="en-US" w:eastAsia="zh-CN"/>
        </w:rPr>
        <w:t>这部分是否需要</w:t>
      </w:r>
    </w:p>
  </w:comment>
  <w:comment w:id="2" w:author="June." w:date="2024-10-12T09:41:29Z" w:initials="">
    <w:p w14:paraId="55754D46">
      <w:pPr>
        <w:pStyle w:val="5"/>
        <w:rPr>
          <w:rFonts w:hint="default" w:eastAsia="宋体"/>
          <w:lang w:val="en-US" w:eastAsia="zh-CN"/>
        </w:rPr>
      </w:pPr>
      <w:r>
        <w:rPr>
          <w:rFonts w:hint="eastAsia"/>
          <w:lang w:val="en-US" w:eastAsia="zh-CN"/>
        </w:rPr>
        <w:t>操作人员和技术人员是同一人？</w:t>
      </w:r>
    </w:p>
  </w:comment>
  <w:comment w:id="3" w:author="June." w:date="2024-10-12T10:05:56Z" w:initials="">
    <w:p w14:paraId="538759E6">
      <w:pPr>
        <w:pStyle w:val="5"/>
        <w:rPr>
          <w:rFonts w:hint="default" w:eastAsia="宋体"/>
          <w:lang w:val="en-US" w:eastAsia="zh-CN"/>
        </w:rPr>
      </w:pPr>
      <w:r>
        <w:rPr>
          <w:rFonts w:hint="eastAsia"/>
          <w:lang w:val="en-US" w:eastAsia="zh-CN"/>
        </w:rPr>
        <w:t>这部分内容是否需要</w:t>
      </w:r>
    </w:p>
  </w:comment>
  <w:comment w:id="4" w:author="June." w:date="2024-10-12T10:41:03Z" w:initials="">
    <w:p w14:paraId="241B77F7">
      <w:pPr>
        <w:pStyle w:val="5"/>
        <w:rPr>
          <w:rFonts w:hint="default" w:eastAsia="宋体"/>
          <w:lang w:val="en-US" w:eastAsia="zh-CN"/>
        </w:rPr>
      </w:pPr>
      <w:r>
        <w:rPr>
          <w:rFonts w:hint="eastAsia"/>
          <w:lang w:val="en-US" w:eastAsia="zh-CN"/>
        </w:rPr>
        <w:t>紫荆、新村是否需要由供应商委托第三方出检测报告</w:t>
      </w:r>
    </w:p>
  </w:comment>
  <w:comment w:id="5" w:author="June." w:date="2024-10-12T10:43:33Z" w:initials="">
    <w:p w14:paraId="2D212B09">
      <w:pPr>
        <w:pStyle w:val="5"/>
        <w:rPr>
          <w:rFonts w:hint="default" w:eastAsia="宋体"/>
          <w:lang w:val="en-US" w:eastAsia="zh-CN"/>
        </w:rPr>
      </w:pPr>
      <w:r>
        <w:rPr>
          <w:rFonts w:hint="eastAsia"/>
          <w:lang w:val="en-US" w:eastAsia="zh-CN"/>
        </w:rPr>
        <w:t>紫荆、新村是否需要</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B77DFA" w15:done="0"/>
  <w15:commentEx w15:paraId="5DD060C2" w15:done="0"/>
  <w15:commentEx w15:paraId="55754D46" w15:done="0"/>
  <w15:commentEx w15:paraId="538759E6" w15:done="0"/>
  <w15:commentEx w15:paraId="241B77F7" w15:done="0"/>
  <w15:commentEx w15:paraId="2D212B0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
    <w:altName w:val="Times New Roman"/>
    <w:panose1 w:val="02020603050405020304"/>
    <w:charset w:val="00"/>
    <w:family w:val="roman"/>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432" w:lineRule="auto"/>
        <w:ind w:firstLine="480"/>
      </w:pPr>
      <w:r>
        <w:separator/>
      </w:r>
    </w:p>
  </w:footnote>
  <w:footnote w:type="continuationSeparator" w:id="1">
    <w:p>
      <w:pPr>
        <w:spacing w:line="432"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E27145"/>
    <w:multiLevelType w:val="singleLevel"/>
    <w:tmpl w:val="23E27145"/>
    <w:lvl w:ilvl="0" w:tentative="0">
      <w:start w:val="1"/>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une.">
    <w15:presenceInfo w15:providerId="WPS Office" w15:userId="5443250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0NjQ5MTA3MGIxNTcxM2Y0MTY0YTExNjkwN2Q3YTQifQ=="/>
  </w:docVars>
  <w:rsids>
    <w:rsidRoot w:val="477F57B6"/>
    <w:rsid w:val="00A65A3E"/>
    <w:rsid w:val="029D518A"/>
    <w:rsid w:val="032A32D0"/>
    <w:rsid w:val="03873878"/>
    <w:rsid w:val="0BC07254"/>
    <w:rsid w:val="0F173A21"/>
    <w:rsid w:val="120F5D2F"/>
    <w:rsid w:val="121037B1"/>
    <w:rsid w:val="13386ED7"/>
    <w:rsid w:val="13C50393"/>
    <w:rsid w:val="17ED2FCA"/>
    <w:rsid w:val="18194E5B"/>
    <w:rsid w:val="18D41D76"/>
    <w:rsid w:val="19524AC9"/>
    <w:rsid w:val="1F0F4603"/>
    <w:rsid w:val="202C1AA0"/>
    <w:rsid w:val="211D0141"/>
    <w:rsid w:val="241E6ECF"/>
    <w:rsid w:val="24CF1271"/>
    <w:rsid w:val="26244685"/>
    <w:rsid w:val="268A0CFE"/>
    <w:rsid w:val="283A3FA3"/>
    <w:rsid w:val="29476130"/>
    <w:rsid w:val="29DF2EC6"/>
    <w:rsid w:val="2AD537DD"/>
    <w:rsid w:val="2EFE0780"/>
    <w:rsid w:val="2F2C7572"/>
    <w:rsid w:val="3034572A"/>
    <w:rsid w:val="306F6CF6"/>
    <w:rsid w:val="321B561D"/>
    <w:rsid w:val="33C80245"/>
    <w:rsid w:val="3411502E"/>
    <w:rsid w:val="34664D69"/>
    <w:rsid w:val="34956A13"/>
    <w:rsid w:val="36045DCA"/>
    <w:rsid w:val="36082E79"/>
    <w:rsid w:val="3B2C3D25"/>
    <w:rsid w:val="3CE93C7A"/>
    <w:rsid w:val="3DB755CD"/>
    <w:rsid w:val="3ED53826"/>
    <w:rsid w:val="41994793"/>
    <w:rsid w:val="42403C89"/>
    <w:rsid w:val="43420FE4"/>
    <w:rsid w:val="46081EE8"/>
    <w:rsid w:val="477F57B6"/>
    <w:rsid w:val="49177B43"/>
    <w:rsid w:val="4D3032B0"/>
    <w:rsid w:val="4EDD67EF"/>
    <w:rsid w:val="5369404E"/>
    <w:rsid w:val="54DB67C4"/>
    <w:rsid w:val="56EA4C67"/>
    <w:rsid w:val="58626E93"/>
    <w:rsid w:val="58A907B1"/>
    <w:rsid w:val="5BA021D5"/>
    <w:rsid w:val="5BC13CE5"/>
    <w:rsid w:val="5E50651E"/>
    <w:rsid w:val="61241E74"/>
    <w:rsid w:val="61AA1046"/>
    <w:rsid w:val="62B32520"/>
    <w:rsid w:val="632131B2"/>
    <w:rsid w:val="64334C5D"/>
    <w:rsid w:val="64E60F3C"/>
    <w:rsid w:val="66600467"/>
    <w:rsid w:val="66F74213"/>
    <w:rsid w:val="684D2E2F"/>
    <w:rsid w:val="69623539"/>
    <w:rsid w:val="6A0F44BE"/>
    <w:rsid w:val="6A793751"/>
    <w:rsid w:val="6BCC3F96"/>
    <w:rsid w:val="6D1C4347"/>
    <w:rsid w:val="6FB11BBE"/>
    <w:rsid w:val="700955A1"/>
    <w:rsid w:val="712612F0"/>
    <w:rsid w:val="71401247"/>
    <w:rsid w:val="7207700E"/>
    <w:rsid w:val="735157AB"/>
    <w:rsid w:val="745942EE"/>
    <w:rsid w:val="75761242"/>
    <w:rsid w:val="77C47B5F"/>
    <w:rsid w:val="79361304"/>
    <w:rsid w:val="7AF43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432" w:lineRule="auto"/>
      <w:ind w:firstLine="540" w:firstLineChars="200"/>
    </w:pPr>
    <w:rPr>
      <w:rFonts w:ascii="Times New Roman" w:hAnsi="Times New Roman" w:eastAsia="宋体" w:cs="Times New Roman"/>
      <w:kern w:val="2"/>
      <w:sz w:val="24"/>
      <w:lang w:val="en-US" w:eastAsia="zh-CN" w:bidi="ar-SA"/>
    </w:rPr>
  </w:style>
  <w:style w:type="paragraph" w:styleId="2">
    <w:name w:val="heading 1"/>
    <w:basedOn w:val="1"/>
    <w:next w:val="1"/>
    <w:qFormat/>
    <w:uiPriority w:val="0"/>
    <w:pPr>
      <w:keepNext/>
      <w:keepLines/>
      <w:spacing w:beforeLines="0" w:beforeAutospacing="0" w:afterLines="0" w:afterAutospacing="0" w:line="360" w:lineRule="auto"/>
      <w:outlineLvl w:val="0"/>
    </w:pPr>
    <w:rPr>
      <w:rFonts w:ascii="Arial" w:hAnsi="Arial" w:eastAsia="宋体" w:cs="Arial"/>
      <w:b/>
      <w:snapToGrid w:val="0"/>
      <w:color w:val="000000"/>
      <w:kern w:val="44"/>
      <w:sz w:val="44"/>
      <w:szCs w:val="21"/>
    </w:rPr>
  </w:style>
  <w:style w:type="paragraph" w:styleId="3">
    <w:name w:val="heading 2"/>
    <w:basedOn w:val="1"/>
    <w:next w:val="1"/>
    <w:link w:val="15"/>
    <w:semiHidden/>
    <w:unhideWhenUsed/>
    <w:qFormat/>
    <w:uiPriority w:val="0"/>
    <w:pPr>
      <w:keepNext/>
      <w:keepLines/>
      <w:spacing w:after="1200" w:afterLines="1200" w:line="360" w:lineRule="auto"/>
      <w:ind w:firstLine="0" w:firstLineChars="0"/>
      <w:outlineLvl w:val="1"/>
    </w:pPr>
    <w:rPr>
      <w:rFonts w:ascii="Arial" w:hAnsi="Arial" w:eastAsia="宋体" w:cstheme="majorBidi"/>
      <w:b/>
      <w:bCs/>
      <w:snapToGrid w:val="0"/>
      <w:color w:val="000000"/>
      <w:kern w:val="0"/>
      <w:sz w:val="28"/>
      <w:szCs w:val="32"/>
    </w:rPr>
  </w:style>
  <w:style w:type="paragraph" w:styleId="4">
    <w:name w:val="heading 3"/>
    <w:basedOn w:val="1"/>
    <w:next w:val="1"/>
    <w:unhideWhenUsed/>
    <w:qFormat/>
    <w:uiPriority w:val="0"/>
    <w:pPr>
      <w:keepNext/>
      <w:keepLines/>
      <w:numPr>
        <w:ilvl w:val="2"/>
        <w:numId w:val="0"/>
      </w:numPr>
      <w:tabs>
        <w:tab w:val="left" w:pos="420"/>
      </w:tabs>
      <w:spacing w:line="360" w:lineRule="auto"/>
      <w:ind w:firstLineChars="0"/>
      <w:outlineLvl w:val="2"/>
    </w:pPr>
    <w:rPr>
      <w:rFonts w:ascii="Times New Roman" w:hAnsi="Times New Roman" w:eastAsia="宋体"/>
      <w:b/>
      <w:bCs/>
      <w:szCs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next w:val="7"/>
    <w:qFormat/>
    <w:uiPriority w:val="0"/>
    <w:pPr>
      <w:spacing w:line="240" w:lineRule="auto"/>
      <w:ind w:firstLine="420" w:firstLineChars="200"/>
    </w:pPr>
    <w:rPr>
      <w:rFonts w:ascii="Arial" w:hAnsi="Arial" w:eastAsia="宋体" w:cs="Arial"/>
      <w:snapToGrid w:val="0"/>
      <w:color w:val="000000"/>
      <w:spacing w:val="15"/>
      <w:kern w:val="0"/>
      <w:sz w:val="28"/>
      <w:szCs w:val="20"/>
    </w:rPr>
  </w:style>
  <w:style w:type="paragraph" w:customStyle="1" w:styleId="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Plain Text"/>
    <w:basedOn w:val="1"/>
    <w:qFormat/>
    <w:uiPriority w:val="0"/>
    <w:pPr>
      <w:autoSpaceDE/>
      <w:autoSpaceDN/>
      <w:adjustRightInd/>
      <w:jc w:val="both"/>
    </w:pPr>
    <w:rPr>
      <w:rFonts w:ascii="宋体" w:hAnsi="Courier New" w:cs="Courier New"/>
      <w:kern w:val="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unhideWhenUsed/>
    <w:qFormat/>
    <w:uiPriority w:val="99"/>
    <w:pPr>
      <w:widowControl/>
      <w:spacing w:before="100" w:beforeAutospacing="1" w:after="100" w:afterAutospacing="1" w:line="240" w:lineRule="auto"/>
    </w:pPr>
    <w:rPr>
      <w:rFonts w:ascii="宋体" w:hAnsi="宋体" w:cs="宋体"/>
      <w:kern w:val="0"/>
      <w:szCs w:val="24"/>
    </w:rPr>
  </w:style>
  <w:style w:type="paragraph" w:customStyle="1" w:styleId="14">
    <w:name w:val="表格文字"/>
    <w:basedOn w:val="1"/>
    <w:next w:val="6"/>
    <w:qFormat/>
    <w:uiPriority w:val="0"/>
    <w:pPr>
      <w:spacing w:before="25" w:after="25" w:line="300" w:lineRule="auto"/>
    </w:pPr>
    <w:rPr>
      <w:rFonts w:ascii="Times" w:hAnsi="Times"/>
      <w:spacing w:val="10"/>
    </w:rPr>
  </w:style>
  <w:style w:type="character" w:customStyle="1" w:styleId="15">
    <w:name w:val="标题 2 Char"/>
    <w:link w:val="3"/>
    <w:qFormat/>
    <w:uiPriority w:val="9"/>
    <w:rPr>
      <w:rFonts w:ascii="Arial" w:hAnsi="Arial" w:eastAsia="宋体" w:cstheme="majorBidi"/>
      <w:b/>
      <w:bCs/>
      <w:snapToGrid w:val="0"/>
      <w:color w:val="000000"/>
      <w:kern w:val="0"/>
      <w:sz w:val="28"/>
      <w:szCs w:val="32"/>
    </w:rPr>
  </w:style>
  <w:style w:type="paragraph" w:customStyle="1" w:styleId="16">
    <w:name w:val="Table Paragraph"/>
    <w:basedOn w:val="1"/>
    <w:qFormat/>
    <w:uiPriority w:val="1"/>
    <w:pPr>
      <w:widowControl w:val="0"/>
    </w:pPr>
    <w:rPr>
      <w:rFonts w:ascii="Calibri" w:hAnsi="Calibri"/>
      <w:sz w:val="22"/>
      <w:szCs w:val="22"/>
      <w:lang w:eastAsia="en-US"/>
    </w:rPr>
  </w:style>
  <w:style w:type="paragraph" w:styleId="17">
    <w:name w:val="List Paragraph"/>
    <w:basedOn w:val="1"/>
    <w:qFormat/>
    <w:uiPriority w:val="34"/>
    <w:pPr>
      <w:autoSpaceDE/>
      <w:autoSpaceDN/>
      <w:adjustRightInd/>
      <w:ind w:firstLine="420" w:firstLineChars="200"/>
      <w:jc w:val="both"/>
    </w:pPr>
    <w:rPr>
      <w:rFonts w:eastAsia="黑体"/>
      <w:bCs/>
      <w:kern w:val="2"/>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6696</Words>
  <Characters>7208</Characters>
  <Lines>0</Lines>
  <Paragraphs>0</Paragraphs>
  <TotalTime>0</TotalTime>
  <ScaleCrop>false</ScaleCrop>
  <LinksUpToDate>false</LinksUpToDate>
  <CharactersWithSpaces>7221</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2023-09-07T03:32:00Z</dcterms:created>
  <dc:creator>Italylly</dc:creator>
  <cp:lastModifiedBy>June.</cp:lastModifiedBy>
  <dcterms:modified xsi:type="dcterms:W3CDTF">2024-10-17T07:42:58Z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D997C156DE694B799B8810CF255BE04C</vt:lpwstr>
  </property>
</Properties>
</file>