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2"/>
          <w:rFonts w:hint="eastAsia" w:ascii="宋体" w:hAnsi="宋体" w:eastAsia="宋体" w:cs="宋体"/>
          <w:b/>
          <w:bCs/>
          <w:sz w:val="44"/>
          <w:szCs w:val="44"/>
        </w:rPr>
      </w:pPr>
      <w:r>
        <w:rPr>
          <w:rStyle w:val="12"/>
          <w:rFonts w:hint="eastAsia" w:ascii="宋体" w:hAnsi="宋体" w:cs="宋体"/>
          <w:b/>
          <w:bCs/>
          <w:sz w:val="44"/>
          <w:szCs w:val="44"/>
          <w:lang w:val="en-US" w:eastAsia="zh-CN"/>
        </w:rPr>
        <w:t>珠海市第三人民医院</w:t>
      </w:r>
      <w:r>
        <w:rPr>
          <w:rStyle w:val="12"/>
          <w:rFonts w:hint="eastAsia" w:ascii="宋体" w:hAnsi="宋体" w:eastAsia="宋体" w:cs="宋体"/>
          <w:b/>
          <w:bCs/>
          <w:sz w:val="44"/>
          <w:szCs w:val="44"/>
        </w:rPr>
        <w:t>输液（瓶）袋、医用</w:t>
      </w:r>
    </w:p>
    <w:p>
      <w:pPr>
        <w:jc w:val="center"/>
        <w:rPr>
          <w:rStyle w:val="12"/>
          <w:rFonts w:hint="default" w:ascii="宋体" w:hAnsi="宋体" w:eastAsia="宋体" w:cs="宋体"/>
          <w:b/>
          <w:bCs/>
          <w:sz w:val="44"/>
          <w:szCs w:val="44"/>
          <w:lang w:val="en-US" w:eastAsia="zh-CN"/>
        </w:rPr>
      </w:pPr>
      <w:bookmarkStart w:id="0" w:name="_GoBack"/>
      <w:bookmarkEnd w:id="0"/>
      <w:r>
        <w:rPr>
          <w:rStyle w:val="12"/>
          <w:rFonts w:hint="eastAsia" w:ascii="宋体" w:hAnsi="宋体" w:eastAsia="宋体" w:cs="宋体"/>
          <w:b/>
          <w:bCs/>
          <w:sz w:val="44"/>
          <w:szCs w:val="44"/>
        </w:rPr>
        <w:t>玻璃回收</w:t>
      </w:r>
      <w:r>
        <w:rPr>
          <w:rStyle w:val="12"/>
          <w:rFonts w:hint="eastAsia" w:ascii="宋体" w:hAnsi="宋体" w:eastAsia="宋体" w:cs="宋体"/>
          <w:b/>
          <w:bCs/>
          <w:sz w:val="44"/>
          <w:szCs w:val="44"/>
          <w:lang w:val="en-US" w:eastAsia="zh-CN"/>
        </w:rPr>
        <w:t>项目需求</w:t>
      </w:r>
      <w:r>
        <w:rPr>
          <w:rStyle w:val="12"/>
          <w:rFonts w:hint="eastAsia" w:ascii="宋体" w:hAnsi="宋体" w:cs="宋体"/>
          <w:b/>
          <w:bCs/>
          <w:sz w:val="44"/>
          <w:szCs w:val="44"/>
          <w:lang w:val="en-US" w:eastAsia="zh-CN"/>
        </w:rPr>
        <w:t>书</w:t>
      </w:r>
    </w:p>
    <w:p>
      <w:pPr>
        <w:ind w:firstLine="883" w:firstLineChars="200"/>
        <w:jc w:val="center"/>
        <w:rPr>
          <w:rStyle w:val="12"/>
          <w:rFonts w:hint="eastAsia" w:ascii="仿宋" w:hAnsi="仿宋" w:eastAsia="仿宋" w:cs="仿宋"/>
          <w:b/>
          <w:bCs/>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Style w:val="12"/>
          <w:rFonts w:hint="eastAsia"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一、项目介绍</w:t>
      </w:r>
    </w:p>
    <w:p>
      <w:pPr>
        <w:pStyle w:val="6"/>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为贯彻落实国家卫健委、生态环境部等多部门联合下发的《国卫医发（2020）3号》文件，按照闭环管理，定点定向，全程追溯的原则，对医疗可回收物实行集中处置再生利用。实现医疗废物减量化，再利用的资源化管理。</w:t>
      </w:r>
      <w:r>
        <w:rPr>
          <w:rFonts w:hint="eastAsia" w:ascii="仿宋" w:hAnsi="仿宋" w:eastAsia="仿宋" w:cs="仿宋"/>
          <w:b w:val="0"/>
          <w:bCs/>
          <w:sz w:val="28"/>
          <w:szCs w:val="28"/>
          <w:lang w:val="en-US" w:eastAsia="zh-CN"/>
        </w:rPr>
        <w:t>我院每年有一批</w:t>
      </w:r>
      <w:r>
        <w:rPr>
          <w:rStyle w:val="12"/>
          <w:rFonts w:hint="eastAsia" w:ascii="仿宋" w:hAnsi="仿宋" w:eastAsia="仿宋" w:cs="仿宋"/>
          <w:b w:val="0"/>
          <w:bCs/>
          <w:sz w:val="28"/>
          <w:szCs w:val="28"/>
        </w:rPr>
        <w:t>一次性塑料输液瓶（袋）、医用玻璃及</w:t>
      </w:r>
      <w:r>
        <w:rPr>
          <w:rStyle w:val="12"/>
          <w:rFonts w:hint="eastAsia" w:ascii="仿宋" w:hAnsi="仿宋" w:eastAsia="仿宋" w:cs="仿宋"/>
          <w:b w:val="0"/>
          <w:bCs/>
          <w:sz w:val="28"/>
          <w:szCs w:val="28"/>
          <w:lang w:val="en-US" w:eastAsia="zh-CN"/>
        </w:rPr>
        <w:t>过期病例处方单等医疗可回收物处理，</w:t>
      </w:r>
      <w:r>
        <w:rPr>
          <w:rStyle w:val="12"/>
          <w:rFonts w:hint="eastAsia" w:ascii="仿宋" w:hAnsi="仿宋" w:eastAsia="仿宋" w:cs="仿宋"/>
          <w:b w:val="0"/>
          <w:bCs/>
          <w:sz w:val="28"/>
          <w:szCs w:val="28"/>
          <w:highlight w:val="yellow"/>
          <w:lang w:val="en-US" w:eastAsia="zh-CN"/>
        </w:rPr>
        <w:t>其中</w:t>
      </w:r>
      <w:r>
        <w:rPr>
          <w:rStyle w:val="12"/>
          <w:rFonts w:hint="eastAsia" w:ascii="仿宋" w:hAnsi="仿宋" w:eastAsia="仿宋" w:cs="仿宋"/>
          <w:b w:val="0"/>
          <w:bCs/>
          <w:sz w:val="28"/>
          <w:szCs w:val="28"/>
          <w:highlight w:val="yellow"/>
        </w:rPr>
        <w:t>一次性塑料输液瓶（袋）</w:t>
      </w:r>
      <w:r>
        <w:rPr>
          <w:rStyle w:val="12"/>
          <w:rFonts w:hint="eastAsia" w:ascii="仿宋" w:hAnsi="仿宋" w:eastAsia="仿宋" w:cs="仿宋"/>
          <w:b w:val="0"/>
          <w:bCs/>
          <w:sz w:val="28"/>
          <w:szCs w:val="28"/>
          <w:highlight w:val="yellow"/>
          <w:lang w:val="en-US" w:eastAsia="zh-CN"/>
        </w:rPr>
        <w:t>约2000kg/年，</w:t>
      </w:r>
      <w:r>
        <w:rPr>
          <w:rStyle w:val="12"/>
          <w:rFonts w:hint="eastAsia" w:ascii="仿宋" w:hAnsi="仿宋" w:eastAsia="仿宋" w:cs="仿宋"/>
          <w:b w:val="0"/>
          <w:bCs/>
          <w:sz w:val="28"/>
          <w:szCs w:val="28"/>
          <w:highlight w:val="yellow"/>
        </w:rPr>
        <w:t>医用玻璃</w:t>
      </w:r>
      <w:r>
        <w:rPr>
          <w:rStyle w:val="12"/>
          <w:rFonts w:hint="eastAsia" w:ascii="仿宋" w:hAnsi="仿宋" w:eastAsia="仿宋" w:cs="仿宋"/>
          <w:b w:val="0"/>
          <w:bCs/>
          <w:sz w:val="28"/>
          <w:szCs w:val="28"/>
          <w:highlight w:val="yellow"/>
          <w:lang w:val="en-US" w:eastAsia="zh-CN"/>
        </w:rPr>
        <w:t>约3500kg/年，过期病例处方单、检验单100kg/年</w:t>
      </w:r>
      <w:r>
        <w:rPr>
          <w:rStyle w:val="12"/>
          <w:rFonts w:hint="eastAsia" w:ascii="仿宋" w:hAnsi="仿宋" w:eastAsia="仿宋" w:cs="仿宋"/>
          <w:b w:val="0"/>
          <w:bCs/>
          <w:sz w:val="28"/>
          <w:szCs w:val="28"/>
          <w:lang w:val="en-US" w:eastAsia="zh-CN"/>
        </w:rPr>
        <w:t>。现需一家</w:t>
      </w:r>
      <w:r>
        <w:rPr>
          <w:rFonts w:hint="eastAsia" w:ascii="仿宋" w:hAnsi="仿宋" w:eastAsia="仿宋" w:cs="仿宋"/>
          <w:b w:val="0"/>
          <w:bCs/>
          <w:sz w:val="28"/>
          <w:szCs w:val="28"/>
        </w:rPr>
        <w:t>国家卫健委和中国物资再生协会塑料分会推荐的医疗机构可回收物试点企业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我院</w:t>
      </w:r>
      <w:r>
        <w:rPr>
          <w:rFonts w:hint="eastAsia" w:ascii="仿宋" w:hAnsi="仿宋" w:eastAsia="仿宋" w:cs="仿宋"/>
          <w:b w:val="0"/>
          <w:bCs/>
          <w:sz w:val="28"/>
          <w:szCs w:val="28"/>
        </w:rPr>
        <w:t>提供合法、规范的医疗可回收物回收服务。</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Style w:val="12"/>
          <w:rFonts w:hint="eastAsia" w:ascii="仿宋" w:hAnsi="仿宋" w:eastAsia="仿宋" w:cs="仿宋"/>
          <w:b w:val="0"/>
          <w:bCs/>
          <w:sz w:val="28"/>
          <w:szCs w:val="28"/>
        </w:rPr>
      </w:pPr>
      <w:r>
        <w:rPr>
          <w:rStyle w:val="12"/>
          <w:rFonts w:hint="eastAsia" w:ascii="仿宋" w:hAnsi="仿宋" w:eastAsia="仿宋" w:cs="仿宋"/>
          <w:b w:val="0"/>
          <w:bCs/>
          <w:sz w:val="28"/>
          <w:szCs w:val="28"/>
          <w:lang w:val="en-US" w:eastAsia="zh-CN"/>
        </w:rPr>
        <w:t>二、</w:t>
      </w:r>
      <w:r>
        <w:rPr>
          <w:rStyle w:val="12"/>
          <w:rFonts w:hint="eastAsia" w:ascii="仿宋" w:hAnsi="仿宋" w:eastAsia="仿宋" w:cs="仿宋"/>
          <w:b w:val="0"/>
          <w:bCs/>
          <w:sz w:val="28"/>
          <w:szCs w:val="28"/>
        </w:rPr>
        <w:t>服务期限</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2年</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Style w:val="12"/>
          <w:rFonts w:hint="default"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三、服务内容及要求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Style w:val="12"/>
          <w:rFonts w:hint="eastAsia"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1.采购人</w:t>
      </w:r>
      <w:r>
        <w:rPr>
          <w:rStyle w:val="12"/>
          <w:rFonts w:hint="eastAsia" w:ascii="仿宋" w:hAnsi="仿宋" w:eastAsia="仿宋" w:cs="仿宋"/>
          <w:b w:val="0"/>
          <w:bCs/>
          <w:sz w:val="28"/>
          <w:szCs w:val="28"/>
        </w:rPr>
        <w:t>把所有的塑料输液瓶（袋）、玻璃瓶等严格分类后集中存放于院内的固定存放点（具体地点以</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的通知为准），</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按照国家法律法规的要求对使用后一次性塑料输液瓶（袋）、医用玻璃及AB白桶</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过期病例处方</w:t>
      </w:r>
      <w:r>
        <w:rPr>
          <w:rStyle w:val="12"/>
          <w:rFonts w:hint="eastAsia" w:ascii="仿宋" w:hAnsi="仿宋" w:eastAsia="仿宋" w:cs="仿宋"/>
          <w:b w:val="0"/>
          <w:bCs/>
          <w:sz w:val="28"/>
          <w:szCs w:val="28"/>
        </w:rPr>
        <w:t>等</w:t>
      </w:r>
      <w:r>
        <w:rPr>
          <w:rStyle w:val="12"/>
          <w:rFonts w:hint="eastAsia" w:ascii="仿宋" w:hAnsi="仿宋" w:eastAsia="仿宋" w:cs="仿宋"/>
          <w:b w:val="0"/>
          <w:bCs/>
          <w:sz w:val="28"/>
          <w:szCs w:val="28"/>
          <w:lang w:val="en-US" w:eastAsia="zh-CN"/>
        </w:rPr>
        <w:t>进行处理。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Style w:val="12"/>
          <w:rFonts w:hint="eastAsia" w:ascii="仿宋" w:hAnsi="仿宋" w:eastAsia="仿宋" w:cs="仿宋"/>
          <w:b w:val="0"/>
          <w:bCs/>
          <w:color w:val="auto"/>
          <w:sz w:val="28"/>
          <w:szCs w:val="28"/>
          <w:lang w:val="en-US" w:eastAsia="zh-CN"/>
        </w:rPr>
      </w:pPr>
      <w:r>
        <w:rPr>
          <w:rStyle w:val="12"/>
          <w:rFonts w:hint="eastAsia" w:ascii="仿宋" w:hAnsi="仿宋" w:eastAsia="仿宋" w:cs="仿宋"/>
          <w:b w:val="0"/>
          <w:bCs/>
          <w:sz w:val="28"/>
          <w:szCs w:val="28"/>
          <w:lang w:val="en-US" w:eastAsia="zh-CN"/>
        </w:rPr>
        <w:t>2.收运地点：珠海市第三人民医院各院区（主院区</w:t>
      </w:r>
      <w:r>
        <w:rPr>
          <w:rStyle w:val="12"/>
          <w:rFonts w:hint="eastAsia" w:ascii="仿宋" w:hAnsi="仿宋" w:eastAsia="仿宋" w:cs="仿宋"/>
          <w:b w:val="0"/>
          <w:bCs/>
          <w:color w:val="auto"/>
          <w:sz w:val="28"/>
          <w:szCs w:val="28"/>
          <w:lang w:val="en-US" w:eastAsia="zh-CN"/>
        </w:rPr>
        <w:t>：珠海市香洲区和正路166号；紫荆部：珠海市香洲区沿河东路200号；新村部：珠海市香洲区人民东路323号）。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Style w:val="12"/>
          <w:rFonts w:hint="eastAsia" w:ascii="仿宋" w:hAnsi="仿宋" w:eastAsia="仿宋" w:cs="仿宋"/>
          <w:b w:val="0"/>
          <w:bCs/>
          <w:sz w:val="28"/>
          <w:szCs w:val="28"/>
        </w:rPr>
      </w:pPr>
      <w:r>
        <w:rPr>
          <w:rStyle w:val="12"/>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按采购人要求</w:t>
      </w:r>
      <w:r>
        <w:rPr>
          <w:rStyle w:val="12"/>
          <w:rFonts w:hint="eastAsia" w:ascii="仿宋" w:hAnsi="仿宋" w:eastAsia="仿宋" w:cs="仿宋"/>
          <w:b w:val="0"/>
          <w:bCs/>
          <w:sz w:val="28"/>
          <w:szCs w:val="28"/>
        </w:rPr>
        <w:t>定期上门</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以双方具体约定时间为准，每季度上门回收一次</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收集</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产生的可回收塑料输液袋、塑料输液瓶、医用玻璃等,如因</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塑料输液袋、塑料输液瓶、</w:t>
      </w:r>
      <w:r>
        <w:rPr>
          <w:rFonts w:hint="eastAsia" w:ascii="仿宋" w:hAnsi="仿宋" w:eastAsia="仿宋" w:cs="仿宋"/>
          <w:b w:val="0"/>
          <w:bCs/>
          <w:sz w:val="28"/>
          <w:szCs w:val="28"/>
        </w:rPr>
        <w:t>玻璃瓶</w:t>
      </w:r>
      <w:r>
        <w:rPr>
          <w:rStyle w:val="12"/>
          <w:rFonts w:hint="eastAsia" w:ascii="仿宋" w:hAnsi="仿宋" w:eastAsia="仿宋" w:cs="仿宋"/>
          <w:b w:val="0"/>
          <w:bCs/>
          <w:sz w:val="28"/>
          <w:szCs w:val="28"/>
        </w:rPr>
        <w:t>等数量增多，</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亦需协助</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增加上门收取次数，以保证</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塑料输液袋、塑料输液瓶、玻璃瓶等的及时清理。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Style w:val="12"/>
          <w:rFonts w:hint="eastAsia" w:ascii="仿宋" w:hAnsi="仿宋" w:eastAsia="仿宋" w:cs="仿宋"/>
          <w:b w:val="0"/>
          <w:bCs/>
          <w:sz w:val="28"/>
          <w:szCs w:val="28"/>
        </w:rPr>
      </w:pPr>
      <w:r>
        <w:rPr>
          <w:rStyle w:val="12"/>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对可回收物品必须全部毁形处理。可回收物品的再生处理、再生产产品不能用于原用途，以不危害人体健康为原则，禁止用于食品和医疗卫生用品行业。再生产产品的用途限于：医疗废物包装袋、周转箱、汽车工业零配件、塑料地毯、地胶、工业用具包装盒等</w:t>
      </w:r>
      <w:r>
        <w:rPr>
          <w:rStyle w:val="12"/>
          <w:rFonts w:hint="eastAsia" w:ascii="仿宋" w:hAnsi="仿宋" w:eastAsia="仿宋" w:cs="仿宋"/>
          <w:b w:val="0"/>
          <w:bCs/>
          <w:sz w:val="28"/>
          <w:szCs w:val="28"/>
          <w:lang w:eastAsia="zh-CN"/>
        </w:rPr>
        <w:t>，具体应以相关法律法规、珠海市的相关规定为准</w:t>
      </w:r>
      <w:r>
        <w:rPr>
          <w:rStyle w:val="12"/>
          <w:rFonts w:hint="eastAsia" w:ascii="仿宋" w:hAnsi="仿宋" w:eastAsia="仿宋" w:cs="仿宋"/>
          <w:b w:val="0"/>
          <w:bCs/>
          <w:sz w:val="28"/>
          <w:szCs w:val="28"/>
        </w:rPr>
        <w:t>。如果违约所造成的一切后果，由</w:t>
      </w:r>
      <w:r>
        <w:rPr>
          <w:rStyle w:val="12"/>
          <w:rFonts w:hint="eastAsia" w:ascii="仿宋" w:hAnsi="仿宋" w:eastAsia="仿宋" w:cs="仿宋"/>
          <w:b w:val="0"/>
          <w:bCs/>
          <w:sz w:val="28"/>
          <w:szCs w:val="28"/>
          <w:lang w:val="en-US" w:eastAsia="zh-CN"/>
        </w:rPr>
        <w:t>服务商</w:t>
      </w:r>
      <w:r>
        <w:rPr>
          <w:rStyle w:val="12"/>
          <w:rFonts w:hint="eastAsia" w:ascii="仿宋" w:hAnsi="仿宋" w:eastAsia="仿宋" w:cs="仿宋"/>
          <w:b w:val="0"/>
          <w:bCs/>
          <w:sz w:val="28"/>
          <w:szCs w:val="28"/>
        </w:rPr>
        <w:t>承担，与</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无关。</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firstLine="560" w:firstLineChars="200"/>
        <w:jc w:val="left"/>
        <w:textAlignment w:val="auto"/>
        <w:rPr>
          <w:rStyle w:val="12"/>
          <w:rFonts w:hint="eastAsia" w:ascii="仿宋" w:hAnsi="仿宋" w:eastAsia="仿宋" w:cs="仿宋"/>
          <w:b w:val="0"/>
          <w:bCs/>
          <w:sz w:val="28"/>
          <w:szCs w:val="28"/>
        </w:rPr>
      </w:pPr>
      <w:r>
        <w:rPr>
          <w:rStyle w:val="12"/>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保证工作人员不盗窃任何财物（</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财物、病人至财物等）；保证不回收医疗废物（针头，棉签，血袋、尿袋、医疗废物包装袋等）和不可回收物。</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Style w:val="12"/>
          <w:rFonts w:hint="eastAsia" w:ascii="仿宋" w:hAnsi="仿宋" w:eastAsia="仿宋" w:cs="仿宋"/>
          <w:b w:val="0"/>
          <w:bCs/>
          <w:sz w:val="28"/>
          <w:szCs w:val="28"/>
        </w:rPr>
      </w:pPr>
      <w:r>
        <w:rPr>
          <w:rStyle w:val="12"/>
          <w:rFonts w:hint="eastAsia" w:ascii="仿宋" w:hAnsi="仿宋" w:eastAsia="仿宋" w:cs="仿宋"/>
          <w:b w:val="0"/>
          <w:bCs/>
          <w:sz w:val="28"/>
          <w:szCs w:val="28"/>
          <w:lang w:val="en-US" w:eastAsia="zh-CN"/>
        </w:rPr>
        <w:t>6.</w:t>
      </w:r>
      <w:r>
        <w:rPr>
          <w:rStyle w:val="12"/>
          <w:rFonts w:hint="eastAsia" w:ascii="仿宋" w:hAnsi="仿宋" w:eastAsia="仿宋" w:cs="仿宋"/>
          <w:b w:val="0"/>
          <w:bCs/>
          <w:sz w:val="28"/>
          <w:szCs w:val="28"/>
        </w:rPr>
        <w:t>收集：由</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工作人员收集、记重、计量。计量以</w:t>
      </w:r>
      <w:r>
        <w:rPr>
          <w:rStyle w:val="12"/>
          <w:rFonts w:hint="eastAsia" w:ascii="仿宋" w:hAnsi="仿宋" w:eastAsia="仿宋" w:cs="仿宋"/>
          <w:b w:val="0"/>
          <w:bCs/>
          <w:sz w:val="28"/>
          <w:szCs w:val="28"/>
          <w:lang w:val="en-US" w:eastAsia="zh-CN"/>
        </w:rPr>
        <w:t>服务商</w:t>
      </w:r>
      <w:r>
        <w:rPr>
          <w:rStyle w:val="12"/>
          <w:rFonts w:hint="eastAsia" w:ascii="仿宋" w:hAnsi="仿宋" w:eastAsia="仿宋" w:cs="仿宋"/>
          <w:b w:val="0"/>
          <w:bCs/>
          <w:sz w:val="28"/>
          <w:szCs w:val="28"/>
        </w:rPr>
        <w:t>清运时实际数量为准。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Style w:val="12"/>
          <w:rFonts w:hint="eastAsia" w:ascii="仿宋" w:hAnsi="仿宋" w:eastAsia="仿宋" w:cs="仿宋"/>
          <w:b w:val="0"/>
          <w:bCs/>
          <w:sz w:val="28"/>
          <w:szCs w:val="28"/>
        </w:rPr>
      </w:pPr>
      <w:r>
        <w:rPr>
          <w:rStyle w:val="12"/>
          <w:rFonts w:hint="eastAsia" w:ascii="仿宋" w:hAnsi="仿宋" w:eastAsia="仿宋" w:cs="仿宋"/>
          <w:b w:val="0"/>
          <w:bCs/>
          <w:sz w:val="28"/>
          <w:szCs w:val="28"/>
          <w:lang w:val="en-US" w:eastAsia="zh-CN"/>
        </w:rPr>
        <w:t>7.</w:t>
      </w:r>
      <w:r>
        <w:rPr>
          <w:rStyle w:val="12"/>
          <w:rFonts w:hint="eastAsia" w:ascii="仿宋" w:hAnsi="仿宋" w:eastAsia="仿宋" w:cs="仿宋"/>
          <w:b w:val="0"/>
          <w:bCs/>
          <w:sz w:val="28"/>
          <w:szCs w:val="28"/>
        </w:rPr>
        <w:t>暂存：</w:t>
      </w:r>
      <w:r>
        <w:rPr>
          <w:rStyle w:val="12"/>
          <w:rFonts w:hint="eastAsia" w:ascii="仿宋" w:hAnsi="仿宋" w:eastAsia="仿宋" w:cs="仿宋"/>
          <w:b w:val="0"/>
          <w:bCs/>
          <w:sz w:val="28"/>
          <w:szCs w:val="28"/>
          <w:lang w:val="en-US" w:eastAsia="zh-CN"/>
        </w:rPr>
        <w:t>采购方</w:t>
      </w:r>
      <w:r>
        <w:rPr>
          <w:rStyle w:val="12"/>
          <w:rFonts w:hint="eastAsia" w:ascii="仿宋" w:hAnsi="仿宋" w:eastAsia="仿宋" w:cs="仿宋"/>
          <w:b w:val="0"/>
          <w:bCs/>
          <w:sz w:val="28"/>
          <w:szCs w:val="28"/>
        </w:rPr>
        <w:t>工作人员应将所有产生的医疗可回收物严格分类后暂存至</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指定地方，并保证场地卫生整洁，防火安全。</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leftChars="0" w:firstLine="560" w:firstLineChars="200"/>
        <w:jc w:val="left"/>
        <w:textAlignment w:val="auto"/>
        <w:rPr>
          <w:rStyle w:val="12"/>
          <w:rFonts w:hint="default"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8.</w:t>
      </w:r>
      <w:r>
        <w:rPr>
          <w:rStyle w:val="12"/>
          <w:rFonts w:hint="eastAsia" w:ascii="仿宋" w:hAnsi="仿宋" w:eastAsia="仿宋" w:cs="仿宋"/>
          <w:b w:val="0"/>
          <w:bCs/>
          <w:sz w:val="28"/>
          <w:szCs w:val="28"/>
        </w:rPr>
        <w:t>清运：</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按</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要求，及时清运。清运时，由</w:t>
      </w:r>
      <w:r>
        <w:rPr>
          <w:rStyle w:val="12"/>
          <w:rFonts w:hint="eastAsia" w:ascii="仿宋" w:hAnsi="仿宋" w:eastAsia="仿宋" w:cs="仿宋"/>
          <w:b w:val="0"/>
          <w:bCs/>
          <w:sz w:val="28"/>
          <w:szCs w:val="28"/>
          <w:lang w:val="en-US" w:eastAsia="zh-CN"/>
        </w:rPr>
        <w:t>双</w:t>
      </w:r>
      <w:r>
        <w:rPr>
          <w:rStyle w:val="12"/>
          <w:rFonts w:hint="eastAsia" w:ascii="仿宋" w:hAnsi="仿宋" w:eastAsia="仿宋" w:cs="仿宋"/>
          <w:b w:val="0"/>
          <w:bCs/>
          <w:sz w:val="28"/>
          <w:szCs w:val="28"/>
        </w:rPr>
        <w:t>方指定人员在《转运服务单》签字，以保证医疗可回收物不外流，保证双方权责清晰。</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Style w:val="12"/>
          <w:rFonts w:hint="eastAsia"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四、服务费用标准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Style w:val="12"/>
          <w:rFonts w:hint="eastAsia" w:ascii="仿宋" w:hAnsi="仿宋" w:eastAsia="仿宋" w:cs="仿宋"/>
          <w:b w:val="0"/>
          <w:bCs/>
          <w:sz w:val="28"/>
          <w:szCs w:val="28"/>
        </w:rPr>
      </w:pP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eastAsia="zh-CN"/>
        </w:rPr>
        <w:t>无偿</w:t>
      </w:r>
      <w:r>
        <w:rPr>
          <w:rStyle w:val="12"/>
          <w:rFonts w:hint="eastAsia" w:ascii="仿宋" w:hAnsi="仿宋" w:eastAsia="仿宋" w:cs="仿宋"/>
          <w:b w:val="0"/>
          <w:bCs/>
          <w:sz w:val="28"/>
          <w:szCs w:val="28"/>
        </w:rPr>
        <w:t>上门到</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指定地点或本协议约定地点</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收集产生的可回收未被污染的塑料输液瓶（袋）、医用玻璃、</w:t>
      </w:r>
      <w:r>
        <w:rPr>
          <w:rFonts w:hint="eastAsia" w:ascii="仿宋" w:hAnsi="仿宋" w:eastAsia="仿宋" w:cs="仿宋"/>
          <w:b w:val="0"/>
          <w:bCs/>
          <w:sz w:val="28"/>
          <w:szCs w:val="28"/>
        </w:rPr>
        <w:t>过期病历处方单</w:t>
      </w:r>
      <w:r>
        <w:rPr>
          <w:rStyle w:val="12"/>
          <w:rFonts w:hint="eastAsia" w:ascii="仿宋" w:hAnsi="仿宋" w:eastAsia="仿宋" w:cs="仿宋"/>
          <w:b w:val="0"/>
          <w:bCs/>
          <w:sz w:val="28"/>
          <w:szCs w:val="28"/>
        </w:rPr>
        <w:t>等</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免费处理</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产生的可回收物品</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采购人无需向</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支付任何费用</w:t>
      </w:r>
      <w:r>
        <w:rPr>
          <w:rStyle w:val="12"/>
          <w:rFonts w:hint="eastAsia" w:ascii="仿宋" w:hAnsi="仿宋" w:eastAsia="仿宋" w:cs="仿宋"/>
          <w:b w:val="0"/>
          <w:bCs/>
          <w:sz w:val="28"/>
          <w:szCs w:val="28"/>
        </w:rPr>
        <w:t>。</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不接受任何属于医疗废物的物品，发现有医疗废物的物品混入应及时退还</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，由</w:t>
      </w:r>
      <w:r>
        <w:rPr>
          <w:rStyle w:val="12"/>
          <w:rFonts w:hint="eastAsia" w:ascii="仿宋" w:hAnsi="仿宋" w:eastAsia="仿宋" w:cs="仿宋"/>
          <w:b w:val="0"/>
          <w:bCs/>
          <w:sz w:val="28"/>
          <w:szCs w:val="28"/>
          <w:lang w:val="en-US" w:eastAsia="zh-CN"/>
        </w:rPr>
        <w:t>采购人</w:t>
      </w:r>
      <w:r>
        <w:rPr>
          <w:rStyle w:val="12"/>
          <w:rFonts w:hint="eastAsia" w:ascii="仿宋" w:hAnsi="仿宋" w:eastAsia="仿宋" w:cs="仿宋"/>
          <w:b w:val="0"/>
          <w:bCs/>
          <w:sz w:val="28"/>
          <w:szCs w:val="28"/>
        </w:rPr>
        <w:t>按照医疗废物处理程序处理。</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五、企业资质要求</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560" w:firstLineChars="200"/>
        <w:jc w:val="left"/>
        <w:textAlignment w:val="auto"/>
        <w:rPr>
          <w:rStyle w:val="12"/>
          <w:rFonts w:hint="default"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default" w:ascii="仿宋" w:hAnsi="仿宋" w:eastAsia="仿宋" w:cs="仿宋"/>
          <w:b w:val="0"/>
          <w:bCs/>
          <w:sz w:val="28"/>
          <w:szCs w:val="28"/>
          <w:lang w:val="en-US" w:eastAsia="zh-CN"/>
        </w:rPr>
        <w:t>提供企业法人营业执照副本复印件</w:t>
      </w:r>
      <w:r>
        <w:rPr>
          <w:rStyle w:val="12"/>
          <w:rFonts w:hint="eastAsia" w:ascii="仿宋" w:hAnsi="仿宋" w:eastAsia="仿宋" w:cs="仿宋"/>
          <w:b w:val="0"/>
          <w:bCs/>
          <w:sz w:val="28"/>
          <w:szCs w:val="28"/>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仿宋" w:hAnsi="仿宋" w:eastAsia="仿宋" w:cs="仿宋"/>
          <w:b w:val="0"/>
          <w:bCs/>
          <w:sz w:val="28"/>
          <w:szCs w:val="28"/>
          <w:lang w:val="en-US" w:eastAsia="zh-CN"/>
        </w:rPr>
      </w:pPr>
      <w:r>
        <w:rPr>
          <w:rStyle w:val="12"/>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default" w:ascii="仿宋" w:hAnsi="仿宋" w:eastAsia="仿宋" w:cs="仿宋"/>
          <w:b w:val="0"/>
          <w:bCs/>
          <w:sz w:val="28"/>
          <w:szCs w:val="28"/>
          <w:lang w:val="en-US" w:eastAsia="zh-CN"/>
        </w:rPr>
        <w:t>法人资格证明书或法人授权委托书</w:t>
      </w:r>
      <w:r>
        <w:rPr>
          <w:rStyle w:val="12"/>
          <w:rFonts w:hint="eastAsia" w:ascii="仿宋" w:hAnsi="仿宋" w:eastAsia="仿宋" w:cs="仿宋"/>
          <w:b w:val="0"/>
          <w:bCs/>
          <w:sz w:val="28"/>
          <w:szCs w:val="28"/>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00" w:lineRule="exact"/>
        <w:ind w:firstLine="560" w:firstLineChars="200"/>
        <w:jc w:val="left"/>
        <w:textAlignment w:val="auto"/>
        <w:rPr>
          <w:rStyle w:val="12"/>
          <w:rFonts w:hint="eastAsia" w:ascii="仿宋" w:hAnsi="仿宋" w:eastAsia="仿宋" w:cs="仿宋"/>
          <w:b w:val="0"/>
          <w:bCs/>
          <w:sz w:val="32"/>
          <w:szCs w:val="32"/>
        </w:rPr>
      </w:pPr>
      <w:r>
        <w:rPr>
          <w:rStyle w:val="12"/>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rPr>
        <w:t>必须到签约地市卫健局医政科备案，提交相关资质并通过审核。在对医疗可回收物无害化处理过程中，应符合国家法律规定的环保和消防要求及标准</w:t>
      </w:r>
      <w:r>
        <w:rPr>
          <w:rStyle w:val="12"/>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如未按要求即便准处理，造成的一切责任由</w:t>
      </w:r>
      <w:r>
        <w:rPr>
          <w:rFonts w:hint="eastAsia" w:ascii="仿宋" w:hAnsi="仿宋" w:eastAsia="仿宋" w:cs="仿宋"/>
          <w:b w:val="0"/>
          <w:bCs/>
          <w:sz w:val="28"/>
          <w:szCs w:val="28"/>
        </w:rPr>
        <w:t>试点企业</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服务商</w:t>
      </w:r>
      <w:r>
        <w:rPr>
          <w:rFonts w:hint="eastAsia" w:ascii="仿宋" w:hAnsi="仿宋" w:eastAsia="仿宋" w:cs="仿宋"/>
          <w:b w:val="0"/>
          <w:bCs/>
          <w:sz w:val="28"/>
          <w:szCs w:val="28"/>
          <w:lang w:eastAsia="zh-CN"/>
        </w:rPr>
        <w:t>）</w:t>
      </w:r>
      <w:r>
        <w:rPr>
          <w:rStyle w:val="12"/>
          <w:rFonts w:hint="eastAsia" w:ascii="仿宋" w:hAnsi="仿宋" w:eastAsia="仿宋" w:cs="仿宋"/>
          <w:b w:val="0"/>
          <w:bCs/>
          <w:sz w:val="28"/>
          <w:szCs w:val="28"/>
          <w:lang w:val="en-US" w:eastAsia="zh-CN"/>
        </w:rPr>
        <w:t>承担</w:t>
      </w:r>
      <w:r>
        <w:rPr>
          <w:rStyle w:val="12"/>
          <w:rFonts w:hint="eastAsia" w:ascii="仿宋" w:hAnsi="仿宋" w:eastAsia="仿宋" w:cs="仿宋"/>
          <w:b w:val="0"/>
          <w:bCs/>
          <w:sz w:val="28"/>
          <w:szCs w:val="28"/>
        </w:rPr>
        <w:t>。</w:t>
      </w:r>
      <w:r>
        <w:rPr>
          <w:rStyle w:val="12"/>
          <w:rFonts w:hint="default" w:ascii="仿宋" w:hAnsi="仿宋" w:eastAsia="仿宋" w:cs="仿宋"/>
          <w:b w:val="0"/>
          <w:bCs/>
          <w:sz w:val="28"/>
          <w:szCs w:val="28"/>
          <w:lang w:val="en-US" w:eastAsia="zh-CN"/>
        </w:rPr>
        <w:t>提供相关资质证明资</w:t>
      </w:r>
      <w:r>
        <w:rPr>
          <w:rStyle w:val="12"/>
          <w:rFonts w:hint="eastAsia" w:ascii="仿宋" w:hAnsi="仿宋" w:eastAsia="仿宋" w:cs="仿宋"/>
          <w:b w:val="0"/>
          <w:bCs/>
          <w:sz w:val="28"/>
          <w:szCs w:val="28"/>
          <w:lang w:val="en-US" w:eastAsia="zh-CN"/>
        </w:rPr>
        <w:t>料，加盖公章。</w:t>
      </w:r>
    </w:p>
    <w:sectPr>
      <w:footerReference r:id="rId3" w:type="default"/>
      <w:pgSz w:w="11906" w:h="16838"/>
      <w:pgMar w:top="1474" w:right="1644" w:bottom="1474" w:left="1644" w:header="851" w:footer="992"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leader="underscore" w:pos="9866"/>
      </w:tabs>
      <w:rPr>
        <w:rStyle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ln w="6350">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2xk&#10;a9EAAAACAQAADwAAAAAAAAABACAAAAAiAAAAZHJzL2Rvd25yZXYueG1sUEsBAhQAFAAAAAgAh07i&#10;QHFs76wpAgAARwQAAA4AAAAAAAAAAQAgAAAAIA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r>
      <w:rPr>
        <w:rStyle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bodyPr rot="0" vert="horz" wrap="square" lIns="0" tIns="0" rIns="0" bIns="0" anchor="t" anchorCtr="0"/>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VmLr7RAAAABQEAAA8AAAAAAAAAAQAgAAAAIgAAAGRycy9k&#10;b3ducmV2LnhtbFBLAQIUABQAAAAIAIdO4kBL7FWD0AEAAJUDAAAOAAAAAAAAAAEAIAAAACABAABk&#10;cnMvZTJvRG9jLnhtbFBLBQYAAAAABgAGAFkBAABiBQAAAAA=&#10;">
              <v:fill on="f" focussize="0,0"/>
              <v:stroke on="f" weight="0.5pt"/>
              <v:imagedata o:title=""/>
              <o:lock v:ext="edit" aspectratio="f"/>
              <v:textbox inset="0mm,0mm,0mm,0mm"/>
            </v:shape>
          </w:pict>
        </mc:Fallback>
      </mc:AlternateContent>
    </w:r>
    <w:r>
      <w:rPr>
        <w:rStyle w:val="12"/>
      </w:rPr>
      <w:tab/>
    </w:r>
  </w:p>
  <w:p>
    <w:pPr>
      <w:rPr>
        <w:rStyle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4MzY5ODA1NjYwZmRlZGVkYTExYjgwZDExNDJiYTUifQ=="/>
  </w:docVars>
  <w:rsids>
    <w:rsidRoot w:val="00ED247C"/>
    <w:rsid w:val="00035BC9"/>
    <w:rsid w:val="00066319"/>
    <w:rsid w:val="000C72B3"/>
    <w:rsid w:val="000E5571"/>
    <w:rsid w:val="001130C9"/>
    <w:rsid w:val="00144071"/>
    <w:rsid w:val="00177D4E"/>
    <w:rsid w:val="001D3A9E"/>
    <w:rsid w:val="0020136A"/>
    <w:rsid w:val="00251511"/>
    <w:rsid w:val="00264712"/>
    <w:rsid w:val="002818F6"/>
    <w:rsid w:val="002B0C4D"/>
    <w:rsid w:val="002C5FB4"/>
    <w:rsid w:val="002D3B30"/>
    <w:rsid w:val="002E702F"/>
    <w:rsid w:val="002E737A"/>
    <w:rsid w:val="00397BBE"/>
    <w:rsid w:val="003F38D2"/>
    <w:rsid w:val="00405B70"/>
    <w:rsid w:val="00413108"/>
    <w:rsid w:val="00427CC0"/>
    <w:rsid w:val="004E55D0"/>
    <w:rsid w:val="00527FB1"/>
    <w:rsid w:val="00544E56"/>
    <w:rsid w:val="00550A4E"/>
    <w:rsid w:val="0055421A"/>
    <w:rsid w:val="005911C1"/>
    <w:rsid w:val="005E224C"/>
    <w:rsid w:val="005F5B5A"/>
    <w:rsid w:val="006F2E83"/>
    <w:rsid w:val="007036CC"/>
    <w:rsid w:val="00763276"/>
    <w:rsid w:val="008257A7"/>
    <w:rsid w:val="00842FC9"/>
    <w:rsid w:val="00897B4C"/>
    <w:rsid w:val="0096265E"/>
    <w:rsid w:val="009A5BC3"/>
    <w:rsid w:val="009B72C2"/>
    <w:rsid w:val="009D43DB"/>
    <w:rsid w:val="00A50324"/>
    <w:rsid w:val="00A5176C"/>
    <w:rsid w:val="00A8639D"/>
    <w:rsid w:val="00AB76D8"/>
    <w:rsid w:val="00AD4B5E"/>
    <w:rsid w:val="00B3355F"/>
    <w:rsid w:val="00B56394"/>
    <w:rsid w:val="00B76EA3"/>
    <w:rsid w:val="00C50A3A"/>
    <w:rsid w:val="00CA1985"/>
    <w:rsid w:val="00CE5DA9"/>
    <w:rsid w:val="00D21E14"/>
    <w:rsid w:val="00D614D9"/>
    <w:rsid w:val="00D85A8D"/>
    <w:rsid w:val="00DA54DC"/>
    <w:rsid w:val="00DB151B"/>
    <w:rsid w:val="00E201F1"/>
    <w:rsid w:val="00EC099C"/>
    <w:rsid w:val="00ED247C"/>
    <w:rsid w:val="00F24D1A"/>
    <w:rsid w:val="00F3523F"/>
    <w:rsid w:val="00F95BD5"/>
    <w:rsid w:val="00FA5CCF"/>
    <w:rsid w:val="02E411D1"/>
    <w:rsid w:val="03977E2B"/>
    <w:rsid w:val="05CB751F"/>
    <w:rsid w:val="091206B5"/>
    <w:rsid w:val="0A722E8D"/>
    <w:rsid w:val="0F092036"/>
    <w:rsid w:val="11E46932"/>
    <w:rsid w:val="14204AA2"/>
    <w:rsid w:val="179B5035"/>
    <w:rsid w:val="17CF0D2D"/>
    <w:rsid w:val="1873640C"/>
    <w:rsid w:val="1C09191D"/>
    <w:rsid w:val="1D954F84"/>
    <w:rsid w:val="1E001C70"/>
    <w:rsid w:val="1EC71AB5"/>
    <w:rsid w:val="20B6056A"/>
    <w:rsid w:val="21A41C3A"/>
    <w:rsid w:val="240C5BB1"/>
    <w:rsid w:val="28D252DE"/>
    <w:rsid w:val="29322DC3"/>
    <w:rsid w:val="294E18B8"/>
    <w:rsid w:val="299621CE"/>
    <w:rsid w:val="2D8661AA"/>
    <w:rsid w:val="2E0E2C06"/>
    <w:rsid w:val="2EC658E5"/>
    <w:rsid w:val="30000064"/>
    <w:rsid w:val="30D53D8E"/>
    <w:rsid w:val="31121D68"/>
    <w:rsid w:val="35951B6D"/>
    <w:rsid w:val="371A77EA"/>
    <w:rsid w:val="37656863"/>
    <w:rsid w:val="3870704C"/>
    <w:rsid w:val="3F2B209F"/>
    <w:rsid w:val="403501D5"/>
    <w:rsid w:val="42AE426E"/>
    <w:rsid w:val="42D33BB9"/>
    <w:rsid w:val="460F1DDF"/>
    <w:rsid w:val="46DC26B4"/>
    <w:rsid w:val="46FF1309"/>
    <w:rsid w:val="4B0832DC"/>
    <w:rsid w:val="4B150768"/>
    <w:rsid w:val="4DD3102D"/>
    <w:rsid w:val="4EEC5BE4"/>
    <w:rsid w:val="4F1A4F6F"/>
    <w:rsid w:val="50AD6696"/>
    <w:rsid w:val="518B6058"/>
    <w:rsid w:val="51F85506"/>
    <w:rsid w:val="5228245D"/>
    <w:rsid w:val="52FE08FA"/>
    <w:rsid w:val="54624EB9"/>
    <w:rsid w:val="553A3D45"/>
    <w:rsid w:val="559B0682"/>
    <w:rsid w:val="55CF45C7"/>
    <w:rsid w:val="57C3339F"/>
    <w:rsid w:val="5889510A"/>
    <w:rsid w:val="59277EC7"/>
    <w:rsid w:val="5BF33BD3"/>
    <w:rsid w:val="5CC40F94"/>
    <w:rsid w:val="5EBE10DE"/>
    <w:rsid w:val="5EC31F61"/>
    <w:rsid w:val="613A51F3"/>
    <w:rsid w:val="62FD06F3"/>
    <w:rsid w:val="631F43A8"/>
    <w:rsid w:val="660758C0"/>
    <w:rsid w:val="66D65179"/>
    <w:rsid w:val="674E74F9"/>
    <w:rsid w:val="68432F35"/>
    <w:rsid w:val="686D4100"/>
    <w:rsid w:val="68C04B9B"/>
    <w:rsid w:val="69794D27"/>
    <w:rsid w:val="6AA9794F"/>
    <w:rsid w:val="6B4A1128"/>
    <w:rsid w:val="6C004F47"/>
    <w:rsid w:val="6E905476"/>
    <w:rsid w:val="7172737E"/>
    <w:rsid w:val="71AC39BA"/>
    <w:rsid w:val="7565508B"/>
    <w:rsid w:val="75932386"/>
    <w:rsid w:val="7A0E56F8"/>
    <w:rsid w:val="7A7D01F7"/>
    <w:rsid w:val="7C103665"/>
    <w:rsid w:val="7E407233"/>
    <w:rsid w:val="7FC2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4"/>
    <w:qFormat/>
    <w:uiPriority w:val="0"/>
    <w:rPr>
      <w:sz w:val="18"/>
      <w:szCs w:val="18"/>
    </w:rPr>
  </w:style>
  <w:style w:type="paragraph" w:styleId="4">
    <w:name w:val="footer"/>
    <w:basedOn w:val="1"/>
    <w:qFormat/>
    <w:uiPriority w:val="0"/>
    <w:pPr>
      <w:tabs>
        <w:tab w:val="right" w:pos="4153"/>
        <w:tab w:val="left" w:leader="underscore" w:pos="8306"/>
      </w:tabs>
      <w:snapToGrid w:val="0"/>
      <w:jc w:val="left"/>
    </w:pPr>
    <w:rPr>
      <w:sz w:val="18"/>
    </w:rPr>
  </w:style>
  <w:style w:type="paragraph" w:styleId="5">
    <w:name w:val="header"/>
    <w:basedOn w:val="1"/>
    <w:link w:val="21"/>
    <w:qFormat/>
    <w:uiPriority w:val="0"/>
    <w:pPr>
      <w:pBdr>
        <w:top w:val="none" w:color="000000" w:sz="0" w:space="1"/>
        <w:left w:val="none" w:color="000000" w:sz="0" w:space="4"/>
        <w:bottom w:val="none" w:color="000000" w:sz="0" w:space="1"/>
        <w:right w:val="none" w:color="000000" w:sz="0" w:space="4"/>
      </w:pBdr>
      <w:tabs>
        <w:tab w:val="right" w:pos="4153"/>
        <w:tab w:val="left" w:leader="underscore" w:pos="8306"/>
      </w:tabs>
      <w:snapToGrid w:val="0"/>
    </w:pPr>
    <w:rPr>
      <w:sz w:val="18"/>
    </w:rPr>
  </w:style>
  <w:style w:type="paragraph" w:styleId="6">
    <w:name w:val="Normal (Web)"/>
    <w:basedOn w:val="1"/>
    <w:qFormat/>
    <w:uiPriority w:val="0"/>
    <w:pPr>
      <w:widowControl w:val="0"/>
      <w:spacing w:beforeAutospacing="1" w:afterAutospacing="1"/>
      <w:jc w:val="left"/>
    </w:pPr>
    <w:rPr>
      <w:rFonts w:cs="Times New Roman" w:asciiTheme="minorHAnsi" w:hAnsiTheme="minorHAnsi" w:eastAsiaTheme="minorEastAsia"/>
      <w:kern w:val="0"/>
      <w:sz w:val="24"/>
    </w:rPr>
  </w:style>
  <w:style w:type="paragraph" w:styleId="7">
    <w:name w:val="annotation subject"/>
    <w:basedOn w:val="2"/>
    <w:next w:val="2"/>
    <w:link w:val="23"/>
    <w:qFormat/>
    <w:uiPriority w:val="0"/>
    <w:rPr>
      <w:b/>
      <w:bCs/>
    </w:rPr>
  </w:style>
  <w:style w:type="character" w:styleId="10">
    <w:name w:val="annotation reference"/>
    <w:basedOn w:val="9"/>
    <w:qFormat/>
    <w:uiPriority w:val="0"/>
    <w:rPr>
      <w:sz w:val="21"/>
      <w:szCs w:val="21"/>
    </w:rPr>
  </w:style>
  <w:style w:type="paragraph" w:customStyle="1" w:styleId="11">
    <w:name w:val="表格文字"/>
    <w:basedOn w:val="1"/>
    <w:qFormat/>
    <w:uiPriority w:val="0"/>
    <w:pPr>
      <w:widowControl w:val="0"/>
      <w:spacing w:before="25" w:after="25" w:line="300" w:lineRule="auto"/>
      <w:jc w:val="both"/>
    </w:pPr>
    <w:rPr>
      <w:rFonts w:ascii="Times" w:hAnsi="Times"/>
      <w:spacing w:val="10"/>
      <w:sz w:val="24"/>
    </w:rPr>
  </w:style>
  <w:style w:type="character" w:customStyle="1" w:styleId="12">
    <w:name w:val="NormalCharacter"/>
    <w:qFormat/>
    <w:uiPriority w:val="0"/>
  </w:style>
  <w:style w:type="table" w:customStyle="1" w:styleId="13">
    <w:name w:val="TableNormal"/>
    <w:qFormat/>
    <w:uiPriority w:val="0"/>
    <w:tblPr>
      <w:tblCellMar>
        <w:top w:w="0" w:type="dxa"/>
        <w:left w:w="0" w:type="dxa"/>
        <w:bottom w:w="0" w:type="dxa"/>
        <w:right w:w="0" w:type="dxa"/>
      </w:tblCellMar>
    </w:tblPr>
  </w:style>
  <w:style w:type="character" w:customStyle="1" w:styleId="14">
    <w:name w:val="AnnotationReference"/>
    <w:qFormat/>
    <w:uiPriority w:val="0"/>
    <w:rPr>
      <w:sz w:val="21"/>
      <w:szCs w:val="21"/>
    </w:rPr>
  </w:style>
  <w:style w:type="character" w:customStyle="1" w:styleId="15">
    <w:name w:val="UserStyle_0"/>
    <w:link w:val="16"/>
    <w:qFormat/>
    <w:uiPriority w:val="0"/>
    <w:rPr>
      <w:kern w:val="2"/>
      <w:sz w:val="18"/>
      <w:szCs w:val="18"/>
    </w:rPr>
  </w:style>
  <w:style w:type="paragraph" w:customStyle="1" w:styleId="16">
    <w:name w:val="Acetate"/>
    <w:basedOn w:val="1"/>
    <w:link w:val="15"/>
    <w:qFormat/>
    <w:uiPriority w:val="0"/>
    <w:rPr>
      <w:sz w:val="18"/>
      <w:szCs w:val="18"/>
    </w:rPr>
  </w:style>
  <w:style w:type="character" w:customStyle="1" w:styleId="17">
    <w:name w:val="UserStyle_1"/>
    <w:link w:val="18"/>
    <w:qFormat/>
    <w:uiPriority w:val="0"/>
    <w:rPr>
      <w:kern w:val="2"/>
      <w:sz w:val="21"/>
      <w:szCs w:val="24"/>
    </w:rPr>
  </w:style>
  <w:style w:type="paragraph" w:customStyle="1" w:styleId="18">
    <w:name w:val="AnnotationText"/>
    <w:basedOn w:val="1"/>
    <w:link w:val="17"/>
    <w:qFormat/>
    <w:uiPriority w:val="0"/>
    <w:pPr>
      <w:jc w:val="left"/>
    </w:pPr>
  </w:style>
  <w:style w:type="character" w:customStyle="1" w:styleId="19">
    <w:name w:val="UserStyle_2"/>
    <w:link w:val="20"/>
    <w:qFormat/>
    <w:uiPriority w:val="0"/>
    <w:rPr>
      <w:rFonts w:cs="Times New Roman"/>
      <w:b/>
      <w:bCs/>
      <w:kern w:val="2"/>
      <w:sz w:val="21"/>
      <w:szCs w:val="24"/>
    </w:rPr>
  </w:style>
  <w:style w:type="paragraph" w:customStyle="1" w:styleId="20">
    <w:name w:val="AnnotationSubject"/>
    <w:basedOn w:val="18"/>
    <w:link w:val="19"/>
    <w:qFormat/>
    <w:uiPriority w:val="0"/>
    <w:rPr>
      <w:rFonts w:cs="Times New Roman"/>
      <w:b/>
      <w:bCs/>
    </w:rPr>
  </w:style>
  <w:style w:type="character" w:customStyle="1" w:styleId="21">
    <w:name w:val="页眉 字符"/>
    <w:link w:val="5"/>
    <w:qFormat/>
    <w:uiPriority w:val="0"/>
    <w:rPr>
      <w:kern w:val="2"/>
      <w:sz w:val="18"/>
      <w:szCs w:val="24"/>
    </w:rPr>
  </w:style>
  <w:style w:type="character" w:customStyle="1" w:styleId="22">
    <w:name w:val="批注文字 字符"/>
    <w:basedOn w:val="9"/>
    <w:link w:val="2"/>
    <w:qFormat/>
    <w:uiPriority w:val="0"/>
    <w:rPr>
      <w:rFonts w:ascii="Calibri" w:hAnsi="Calibri" w:eastAsia="宋体"/>
      <w:kern w:val="2"/>
      <w:sz w:val="21"/>
      <w:szCs w:val="24"/>
    </w:rPr>
  </w:style>
  <w:style w:type="character" w:customStyle="1" w:styleId="23">
    <w:name w:val="批注主题 字符"/>
    <w:basedOn w:val="22"/>
    <w:link w:val="7"/>
    <w:qFormat/>
    <w:uiPriority w:val="0"/>
    <w:rPr>
      <w:rFonts w:ascii="Calibri" w:hAnsi="Calibri" w:eastAsia="宋体"/>
      <w:b/>
      <w:bCs/>
      <w:kern w:val="2"/>
      <w:sz w:val="21"/>
      <w:szCs w:val="24"/>
    </w:rPr>
  </w:style>
  <w:style w:type="character" w:customStyle="1" w:styleId="24">
    <w:name w:val="批注框文本 字符"/>
    <w:basedOn w:val="9"/>
    <w:link w:val="3"/>
    <w:qFormat/>
    <w:uiPriority w:val="0"/>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2582</Words>
  <Characters>2639</Characters>
  <Lines>13</Lines>
  <Paragraphs>3</Paragraphs>
  <TotalTime>31</TotalTime>
  <ScaleCrop>false</ScaleCrop>
  <LinksUpToDate>false</LinksUpToDate>
  <CharactersWithSpaces>2639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2021-07-08T03:18:00Z</dcterms:created>
  <dc:creator>Administrator</dc:creator>
  <cp:lastModifiedBy>June.</cp:lastModifiedBy>
  <dcterms:modified xsi:type="dcterms:W3CDTF">2024-07-15T06:59:29Z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10E73511AFD04BC4B2392AD500469314</vt:lpwstr>
  </property>
</Properties>
</file>